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21</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R2-2</w:t>
      </w:r>
      <w:r>
        <w:rPr>
          <w:rFonts w:hint="eastAsia" w:ascii="Arial" w:hAnsi="Arial" w:cs="Arial"/>
          <w:b/>
          <w:bCs/>
          <w:snapToGrid w:val="0"/>
          <w:kern w:val="0"/>
          <w:sz w:val="24"/>
        </w:rPr>
        <w:t>3</w:t>
      </w:r>
      <w:r>
        <w:rPr>
          <w:rFonts w:hint="eastAsia" w:ascii="Arial" w:hAnsi="Arial" w:cs="Arial"/>
          <w:b/>
          <w:sz w:val="24"/>
          <w:lang w:val="en-US" w:eastAsia="zh-CN"/>
        </w:rPr>
        <w:t>01141</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hint="eastAsia" w:ascii="Arial" w:hAnsi="Arial" w:cs="Arial"/>
          <w:b/>
          <w:bCs/>
          <w:kern w:val="0"/>
          <w:sz w:val="24"/>
        </w:rPr>
        <w:t>Athens, Greece, 27</w:t>
      </w:r>
      <w:r>
        <w:rPr>
          <w:rFonts w:ascii="Arial" w:hAnsi="Arial" w:cs="Arial"/>
          <w:b/>
          <w:bCs/>
          <w:kern w:val="0"/>
          <w:sz w:val="24"/>
          <w:vertAlign w:val="superscript"/>
        </w:rPr>
        <w:t>th</w:t>
      </w:r>
      <w:r>
        <w:rPr>
          <w:rFonts w:ascii="Arial" w:hAnsi="Arial" w:cs="Arial"/>
          <w:b/>
          <w:bCs/>
          <w:kern w:val="0"/>
          <w:sz w:val="24"/>
        </w:rPr>
        <w:t xml:space="preserve"> </w:t>
      </w:r>
      <w:r>
        <w:rPr>
          <w:rFonts w:hint="eastAsia" w:ascii="Arial" w:hAnsi="Arial" w:cs="Arial"/>
          <w:b/>
          <w:bCs/>
          <w:kern w:val="0"/>
          <w:sz w:val="24"/>
        </w:rPr>
        <w:t xml:space="preserve">February </w:t>
      </w:r>
      <w:r>
        <w:rPr>
          <w:rFonts w:ascii="Arial" w:hAnsi="Arial" w:cs="Arial"/>
          <w:b/>
          <w:bCs/>
          <w:kern w:val="0"/>
          <w:sz w:val="24"/>
        </w:rPr>
        <w:t xml:space="preserve">– </w:t>
      </w:r>
      <w:r>
        <w:rPr>
          <w:rFonts w:hint="eastAsia" w:ascii="Arial" w:hAnsi="Arial" w:cs="Arial"/>
          <w:b/>
          <w:bCs/>
          <w:kern w:val="0"/>
          <w:sz w:val="24"/>
        </w:rPr>
        <w:t>3</w:t>
      </w:r>
      <w:r>
        <w:rPr>
          <w:rFonts w:hint="eastAsia" w:ascii="Arial" w:hAnsi="Arial" w:cs="Arial"/>
          <w:b/>
          <w:bCs/>
          <w:kern w:val="0"/>
          <w:sz w:val="24"/>
          <w:vertAlign w:val="superscript"/>
        </w:rPr>
        <w:t>rd</w:t>
      </w:r>
      <w:r>
        <w:rPr>
          <w:rFonts w:ascii="Arial" w:hAnsi="Arial" w:cs="Arial"/>
          <w:b/>
          <w:bCs/>
          <w:kern w:val="0"/>
          <w:sz w:val="24"/>
        </w:rPr>
        <w:t xml:space="preserve"> </w:t>
      </w:r>
      <w:r>
        <w:rPr>
          <w:rFonts w:hint="eastAsia" w:ascii="Arial" w:hAnsi="Arial" w:cs="Arial"/>
          <w:b/>
          <w:bCs/>
          <w:kern w:val="0"/>
          <w:sz w:val="24"/>
        </w:rPr>
        <w:t>March</w:t>
      </w:r>
      <w:r>
        <w:rPr>
          <w:rFonts w:ascii="Arial" w:hAnsi="Arial" w:cs="Arial"/>
          <w:b/>
          <w:bCs/>
          <w:kern w:val="0"/>
          <w:sz w:val="24"/>
        </w:rPr>
        <w:t xml:space="preserve"> 202</w:t>
      </w:r>
      <w:r>
        <w:rPr>
          <w:rFonts w:hint="eastAsia" w:ascii="Arial" w:hAnsi="Arial" w:cs="Arial"/>
          <w:b/>
          <w:bCs/>
          <w:kern w:val="0"/>
          <w:sz w:val="24"/>
        </w:rPr>
        <w:t>3</w:t>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Cell reselection enhancements for NTN-TN</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8.7.4</w:t>
      </w:r>
      <w:r>
        <w:rPr>
          <w:rFonts w:hint="eastAsia" w:ascii="Arial" w:hAnsi="Arial" w:cs="Arial"/>
          <w:b/>
          <w:bCs/>
          <w:snapToGrid w:val="0"/>
          <w:kern w:val="0"/>
          <w:sz w:val="24"/>
        </w:rPr>
        <w:t>.1</w:t>
      </w:r>
      <w:r>
        <w:rPr>
          <w:rFonts w:hint="eastAsia" w:ascii="Arial" w:hAnsi="Arial" w:cs="Arial"/>
          <w:b/>
          <w:bCs/>
          <w:snapToGrid w:val="0"/>
          <w:kern w:val="0"/>
          <w:sz w:val="24"/>
          <w:lang w:val="en-US" w:eastAsia="zh-CN"/>
        </w:rPr>
        <w:t>.1</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jc w:val="left"/>
        <w:rPr>
          <w:szCs w:val="20"/>
        </w:rPr>
      </w:pPr>
      <w:r>
        <w:rPr>
          <w:rFonts w:hint="eastAsia" w:ascii="Arial" w:hAnsi="Arial" w:cs="Arial"/>
          <w:szCs w:val="20"/>
        </w:rPr>
        <w:t xml:space="preserve"> </w:t>
      </w:r>
      <w:r>
        <w:rPr>
          <w:szCs w:val="20"/>
        </w:rPr>
        <w:t xml:space="preserve">Agreements on </w:t>
      </w:r>
      <w:r>
        <w:rPr>
          <w:rFonts w:hint="eastAsia"/>
          <w:szCs w:val="20"/>
        </w:rPr>
        <w:t xml:space="preserve">NTN-TN </w:t>
      </w:r>
      <w:r>
        <w:rPr>
          <w:szCs w:val="20"/>
        </w:rPr>
        <w:t>cell reselection enhancements are summarized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widowControl/>
              <w:rPr>
                <w:b/>
                <w:bCs/>
                <w:szCs w:val="20"/>
                <w:highlight w:val="cyan"/>
              </w:rPr>
            </w:pPr>
            <w:r>
              <w:rPr>
                <w:b/>
                <w:bCs/>
                <w:szCs w:val="20"/>
                <w:highlight w:val="cyan"/>
              </w:rPr>
              <w:t xml:space="preserve">RAN2#119-e </w:t>
            </w:r>
          </w:p>
          <w:p>
            <w:pPr>
              <w:widowControl/>
              <w:spacing w:line="240" w:lineRule="auto"/>
              <w:rPr>
                <w:szCs w:val="20"/>
              </w:rPr>
            </w:pPr>
            <w:r>
              <w:rPr>
                <w:szCs w:val="20"/>
              </w:rPr>
              <w:t>Agreements [</w:t>
            </w:r>
            <w:r>
              <w:rPr>
                <w:rStyle w:val="64"/>
                <w:szCs w:val="20"/>
              </w:rPr>
              <w:t>R2-2207327</w:t>
            </w:r>
            <w:r>
              <w:rPr>
                <w:szCs w:val="20"/>
              </w:rPr>
              <w:t>]:</w:t>
            </w:r>
          </w:p>
          <w:p>
            <w:pPr>
              <w:widowControl/>
              <w:rPr>
                <w:szCs w:val="20"/>
              </w:rPr>
            </w:pPr>
            <w:r>
              <w:rPr>
                <w:szCs w:val="20"/>
              </w:rPr>
              <w:t xml:space="preserve">1.RAN2 to work on a solution so that measurements for TN’s coverage are performed only when relevant (FFS what relevant means). </w:t>
            </w:r>
          </w:p>
          <w:p>
            <w:pPr>
              <w:widowControl/>
              <w:rPr>
                <w:szCs w:val="20"/>
              </w:rPr>
            </w:pPr>
            <w:r>
              <w:rPr>
                <w:szCs w:val="20"/>
              </w:rPr>
              <w:t>2.RAN2 to work on assistance information that can be provided to NTN UEs for the above.</w:t>
            </w:r>
          </w:p>
          <w:p>
            <w:pPr>
              <w:widowControl/>
              <w:rPr>
                <w:szCs w:val="20"/>
              </w:rPr>
            </w:pPr>
            <w:r>
              <w:rPr>
                <w:szCs w:val="20"/>
              </w:rPr>
              <w:t xml:space="preserve">3.Cell reselection enhancements (for both NTN-NTN and NTN-TN mobility) are considered for both Earth-moving and (quasi-) Earth-fixed scenarios, at least via the use of system information for broadcasting necessary parameters (dedicated signalling is not precluded). FFS whether the same or different solutions are used for Earth-moving and (quasi-)Earth-fixed scenarios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widowControl/>
              <w:rPr>
                <w:b/>
                <w:bCs/>
                <w:szCs w:val="20"/>
                <w:highlight w:val="cyan"/>
              </w:rPr>
            </w:pPr>
            <w:r>
              <w:rPr>
                <w:b/>
                <w:bCs/>
                <w:szCs w:val="20"/>
                <w:highlight w:val="cyan"/>
              </w:rPr>
              <w:t xml:space="preserve">RAN2#119bis-e </w:t>
            </w:r>
          </w:p>
          <w:p>
            <w:pPr>
              <w:widowControl/>
              <w:spacing w:line="240" w:lineRule="auto"/>
              <w:rPr>
                <w:szCs w:val="20"/>
              </w:rPr>
            </w:pPr>
            <w:bookmarkStart w:id="2" w:name="OLE_LINK3"/>
            <w:r>
              <w:rPr>
                <w:szCs w:val="20"/>
              </w:rPr>
              <w:t>Agreements [</w:t>
            </w:r>
            <w:r>
              <w:fldChar w:fldCharType="begin"/>
            </w:r>
            <w:r>
              <w:instrText xml:space="preserve"> HYPERLINK "https://www.3gpp.org/ftp/TSG_RAN/WG2_RL2/TSGR2_119bis-e/Docs/R2-2209578.zip" </w:instrText>
            </w:r>
            <w:r>
              <w:fldChar w:fldCharType="separate"/>
            </w:r>
            <w:r>
              <w:rPr>
                <w:rStyle w:val="64"/>
                <w:szCs w:val="20"/>
              </w:rPr>
              <w:t>R2-2209578</w:t>
            </w:r>
            <w:r>
              <w:rPr>
                <w:rStyle w:val="64"/>
                <w:szCs w:val="20"/>
              </w:rPr>
              <w:fldChar w:fldCharType="end"/>
            </w:r>
            <w:r>
              <w:rPr>
                <w:rStyle w:val="64"/>
                <w:szCs w:val="20"/>
              </w:rPr>
              <w:t>]</w:t>
            </w:r>
            <w:r>
              <w:rPr>
                <w:szCs w:val="20"/>
              </w:rPr>
              <w:t>:</w:t>
            </w:r>
          </w:p>
          <w:bookmarkEnd w:id="2"/>
          <w:p>
            <w:pPr>
              <w:widowControl/>
              <w:numPr>
                <w:ilvl w:val="0"/>
                <w:numId w:val="4"/>
              </w:numPr>
              <w:rPr>
                <w:szCs w:val="20"/>
              </w:rPr>
            </w:pPr>
            <w:r>
              <w:rPr>
                <w:szCs w:val="20"/>
              </w:rPr>
              <w:t>To enhance NTN-TN cell reselection, means are defined for a UE to differentiate when camping in an area only covered by NTN network (earth-moving or earth-fixed) vs an area where TN network(s) is/are also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widowControl/>
              <w:spacing w:line="240" w:lineRule="auto"/>
              <w:rPr>
                <w:szCs w:val="20"/>
              </w:rPr>
            </w:pPr>
            <w:r>
              <w:rPr>
                <w:szCs w:val="20"/>
              </w:rPr>
              <w:t>Agreements [</w:t>
            </w:r>
            <w:r>
              <w:fldChar w:fldCharType="begin"/>
            </w:r>
            <w:r>
              <w:instrText xml:space="preserve"> HYPERLINK "https://www.3gpp.org/ftp/TSG_RAN/WG2_RL2/TSGR2_119bis-e/Docs/R2-2210860.zip" </w:instrText>
            </w:r>
            <w:r>
              <w:fldChar w:fldCharType="separate"/>
            </w:r>
            <w:r>
              <w:rPr>
                <w:rStyle w:val="64"/>
                <w:szCs w:val="20"/>
              </w:rPr>
              <w:t>R2-2210860</w:t>
            </w:r>
            <w:r>
              <w:rPr>
                <w:rStyle w:val="64"/>
                <w:szCs w:val="20"/>
              </w:rPr>
              <w:fldChar w:fldCharType="end"/>
            </w:r>
            <w:r>
              <w:rPr>
                <w:szCs w:val="20"/>
              </w:rPr>
              <w:t>]:</w:t>
            </w:r>
          </w:p>
          <w:p>
            <w:pPr>
              <w:widowControl/>
              <w:rPr>
                <w:szCs w:val="20"/>
              </w:rPr>
            </w:pPr>
            <w:r>
              <w:rPr>
                <w:szCs w:val="20"/>
              </w:rPr>
              <w:t>2.UE is not required to perform neighbour cell measurements for TN neighbour cells in an area where there is no TN network coverage.</w:t>
            </w:r>
          </w:p>
          <w:p>
            <w:pPr>
              <w:widowControl/>
              <w:rPr>
                <w:szCs w:val="20"/>
              </w:rPr>
            </w:pPr>
            <w:r>
              <w:rPr>
                <w:szCs w:val="20"/>
              </w:rPr>
              <w:t>3.The method of detecting the transmission energy or SIB presence to determine the NTN coverage when a UE currently camps on a TN cell is not pursued.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widowControl/>
              <w:rPr>
                <w:szCs w:val="20"/>
              </w:rPr>
            </w:pPr>
            <w:r>
              <w:rPr>
                <w:b/>
                <w:bCs/>
                <w:szCs w:val="20"/>
                <w:highlight w:val="cyan"/>
              </w:rPr>
              <w:t xml:space="preserve">RAN2#120 </w:t>
            </w:r>
          </w:p>
          <w:p>
            <w:pPr>
              <w:widowControl/>
              <w:rPr>
                <w:szCs w:val="20"/>
              </w:rPr>
            </w:pPr>
            <w:r>
              <w:rPr>
                <w:szCs w:val="20"/>
              </w:rPr>
              <w:t>Agreements [</w:t>
            </w:r>
            <w:r>
              <w:rPr>
                <w:rStyle w:val="64"/>
                <w:szCs w:val="20"/>
              </w:rPr>
              <w:t>R2-2211573</w:t>
            </w:r>
            <w:r>
              <w:rPr>
                <w:szCs w:val="20"/>
              </w:rPr>
              <w:t>]:</w:t>
            </w:r>
          </w:p>
          <w:p>
            <w:pPr>
              <w:widowControl/>
              <w:rPr>
                <w:szCs w:val="20"/>
              </w:rPr>
            </w:pPr>
            <w:r>
              <w:rPr>
                <w:szCs w:val="20"/>
              </w:rPr>
              <w:t>1.RAN2 will first continue the investigation on the details of the TN coverage data (e.g. accuracy requirements for describing where TN network(s) is/are available) and UE storage overhead before deciding how to send the information to the UE.</w:t>
            </w:r>
          </w:p>
          <w:p>
            <w:pPr>
              <w:widowControl/>
              <w:rPr>
                <w:szCs w:val="20"/>
              </w:rPr>
            </w:pPr>
            <w:r>
              <w:rPr>
                <w:szCs w:val="20"/>
              </w:rPr>
              <w:t>2.Continue the discussion on whether to introduce explicit indication to identify TN cells from inter-frequency list and inter-RAT frequency list (FFS on the granularity) or whether we rely on implicit information.</w:t>
            </w:r>
          </w:p>
        </w:tc>
      </w:tr>
    </w:tbl>
    <w:p>
      <w:pPr>
        <w:rPr>
          <w:szCs w:val="20"/>
        </w:rPr>
      </w:pPr>
      <w:bookmarkStart w:id="3" w:name="_Toc12718547"/>
      <w:r>
        <w:rPr>
          <w:szCs w:val="20"/>
        </w:rPr>
        <w:t>The main target of enhancements on cell reselection in NTN-TN is for power consumption consideration, in this paper possible solutions will be discussed taking into above agreements into consideration.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p>
    <w:p>
      <w:pPr>
        <w:rPr>
          <w:szCs w:val="20"/>
        </w:rPr>
      </w:pPr>
      <w:r>
        <w:rPr>
          <w:rFonts w:hint="eastAsia"/>
          <w:szCs w:val="20"/>
        </w:rPr>
        <w:t>The objective of cell reselection enhancement in NTN-TN cells is to reduce power consumption which can be done by allowing UE to relax measurement on another NW type. As agreed in RAN2#120, below two options are identified for further discussion:</w:t>
      </w:r>
    </w:p>
    <w:p>
      <w:pPr>
        <w:numPr>
          <w:ilvl w:val="0"/>
          <w:numId w:val="5"/>
        </w:numPr>
        <w:rPr>
          <w:szCs w:val="20"/>
        </w:rPr>
      </w:pPr>
      <w:r>
        <w:rPr>
          <w:rFonts w:hint="eastAsia"/>
          <w:szCs w:val="20"/>
        </w:rPr>
        <w:t>Option 1: provide TN coverage information, so that UE can disable measurements in TN frequency when there is no TN coverage</w:t>
      </w:r>
    </w:p>
    <w:p>
      <w:pPr>
        <w:numPr>
          <w:ilvl w:val="0"/>
          <w:numId w:val="5"/>
        </w:numPr>
      </w:pPr>
      <w:r>
        <w:rPr>
          <w:rFonts w:hint="eastAsia"/>
          <w:szCs w:val="20"/>
        </w:rPr>
        <w:t>Option 2: Provide NW type information per frequency or per cell to assist UE relax measurements</w:t>
      </w:r>
      <w:bookmarkStart w:id="4" w:name="OLE_LINK2"/>
    </w:p>
    <w:p>
      <w:pPr>
        <w:rPr>
          <w:szCs w:val="20"/>
        </w:rPr>
      </w:pPr>
      <w:r>
        <w:rPr>
          <w:rFonts w:hint="eastAsia"/>
          <w:szCs w:val="20"/>
        </w:rPr>
        <w:t>According to existing specs, freqBandIndicatorNR in SIB1 and SIB4 is used to indicate the band number of frequency, and RAN4 has agreed that band number n256 and n255 is reserved for NTN, therefore it shall be possible for UE to based on the freqBandIndicatorNR to determine whether the cells configured for this frequency is a NTN cell or TN cell.</w:t>
      </w:r>
    </w:p>
    <w:p>
      <w:pPr>
        <w:rPr>
          <w:b/>
          <w:bCs/>
        </w:rPr>
      </w:pPr>
      <w:r>
        <w:rPr>
          <w:rFonts w:hint="eastAsia"/>
          <w:b/>
          <w:bCs/>
          <w:szCs w:val="20"/>
        </w:rPr>
        <w:t>Observation 1: freqBandIndicatorNR in SIB1/4 can be used to differentiate NTN and TN cell.</w:t>
      </w:r>
    </w:p>
    <w:p>
      <w:pPr>
        <w:rPr>
          <w:szCs w:val="20"/>
        </w:rPr>
      </w:pPr>
      <w:r>
        <w:rPr>
          <w:rFonts w:hint="eastAsia"/>
          <w:szCs w:val="20"/>
        </w:rPr>
        <w:t>For idle/inactive mode, UE has always followed the frequency and optionally cell information configured in system information (e.g., SIB3/4/19) to perform neighboring cell measurements. If there is no TN coverage then it is possible for NW to not include the TN frequency in SIB3/4/19. In this case UE is no required to perform measurements for TN cells.</w:t>
      </w:r>
    </w:p>
    <w:p>
      <w:pPr>
        <w:rPr>
          <w:b/>
          <w:bCs/>
          <w:szCs w:val="20"/>
        </w:rPr>
      </w:pPr>
      <w:r>
        <w:rPr>
          <w:rFonts w:hint="eastAsia"/>
          <w:b/>
          <w:bCs/>
          <w:szCs w:val="20"/>
        </w:rPr>
        <w:t xml:space="preserve">Observation 2: When there is no TN coverage, it is possible for NW to not provide TN frequency in SIB3/4/19, then UE is not required to perform neighboring cell measurements on TN cells. </w:t>
      </w:r>
    </w:p>
    <w:p>
      <w:pPr>
        <w:rPr>
          <w:szCs w:val="20"/>
        </w:rPr>
      </w:pPr>
      <w:r>
        <w:rPr>
          <w:rFonts w:hint="eastAsia"/>
          <w:szCs w:val="20"/>
        </w:rPr>
        <w:t xml:space="preserve">Based on above providing TN coverage to relax measurements seems not so necessary. However companies may still want to provide TN coverage to UE to avoid frequent SIB3/4/19 update. But there are also additional signalling overhead needed for providing this information and extra requirement on UE storage as well as implementation, the gain can be saved is not so obvious. </w:t>
      </w:r>
    </w:p>
    <w:p>
      <w:pPr>
        <w:rPr>
          <w:b/>
          <w:bCs/>
          <w:szCs w:val="20"/>
        </w:rPr>
      </w:pPr>
      <w:r>
        <w:rPr>
          <w:rFonts w:hint="eastAsia"/>
          <w:b/>
          <w:bCs/>
          <w:szCs w:val="20"/>
        </w:rPr>
        <w:t>Observation 3: Another motivation to provide TN coverage is to avoid frequently update neighboring cell frequency for measurements, while there are still additional signalling overhead and UE storage requirement needed, the actual gain can be achieved is uncertain.</w:t>
      </w:r>
    </w:p>
    <w:p>
      <w:pPr>
        <w:rPr>
          <w:szCs w:val="20"/>
        </w:rPr>
      </w:pPr>
      <w:r>
        <w:rPr>
          <w:rFonts w:hint="eastAsia"/>
          <w:szCs w:val="20"/>
        </w:rPr>
        <w:t xml:space="preserve">In general, there are two types to broadcast TN coverage. One is to provide the TN coverage map that is correspondent to actual geographical area which is relatively static and UE can store the TN coverage map received to decide whether to perform TN measurement accordingly. The downside of this option is that it could potentially expose the BS station location which has privacy and security concerns. Another option is to broadcast a temporary TN coverage corresponding to the NTN coverage of current serving cell, which is more flexible and secured. However, for this method NW still needs to update the information for UE to calculate up to date TN coverage. </w:t>
      </w:r>
    </w:p>
    <w:p>
      <w:pPr>
        <w:rPr>
          <w:b/>
          <w:bCs/>
          <w:szCs w:val="20"/>
        </w:rPr>
      </w:pPr>
      <w:r>
        <w:rPr>
          <w:rFonts w:hint="eastAsia"/>
          <w:b/>
          <w:bCs/>
          <w:szCs w:val="20"/>
        </w:rPr>
        <w:t>Observation 4: Provide UE with static TN coverage correspondent to geographical areas has the risk to expose BS locations which is not desired for security and privacy concerns.</w:t>
      </w:r>
    </w:p>
    <w:p>
      <w:pPr>
        <w:rPr>
          <w:b/>
          <w:bCs/>
          <w:szCs w:val="20"/>
        </w:rPr>
      </w:pPr>
      <w:r>
        <w:rPr>
          <w:rFonts w:hint="eastAsia"/>
          <w:b/>
          <w:bCs/>
          <w:szCs w:val="20"/>
        </w:rPr>
        <w:t>Observation 5: Provide UE with temporary TN coverage corresponding current serving NTN cell has less security concern but would require more signalling overhead to update the information with the movement of satellite.</w:t>
      </w:r>
    </w:p>
    <w:p>
      <w:r>
        <w:rPr>
          <w:rFonts w:hint="eastAsia"/>
          <w:szCs w:val="20"/>
        </w:rPr>
        <w:t xml:space="preserve">Furthermore it is suggested to investigate the required granularity for TN coverage which is relevant to NTN deployments. </w:t>
      </w:r>
      <w:r>
        <w:rPr>
          <w:rFonts w:hint="eastAsia"/>
        </w:rPr>
        <w:t>A typical micro cell size with radius of from hundreds of meters to up to 2 km, radius of pico cell is less than 200 meters, whereas a terrestrial BS could normally covers range with</w:t>
      </w:r>
      <w:bookmarkStart w:id="5" w:name="OLE_LINK6"/>
      <w:r>
        <w:rPr>
          <w:rFonts w:hint="eastAsia"/>
        </w:rPr>
        <w:t xml:space="preserve"> radius of</w:t>
      </w:r>
      <w:bookmarkEnd w:id="5"/>
      <w:r>
        <w:rPr>
          <w:rFonts w:hint="eastAsia"/>
        </w:rPr>
        <w:t xml:space="preserve"> dozens of kilometers.</w:t>
      </w:r>
      <w:r>
        <w:rPr>
          <w:rFonts w:hint="eastAsia"/>
          <w:szCs w:val="20"/>
        </w:rPr>
        <w:t xml:space="preserve"> As for NTN, the cell coverage varies significantly in different deployments. Assuming one cell per beam, </w:t>
      </w:r>
      <w:r>
        <w:rPr>
          <w:rFonts w:hint="eastAsia"/>
        </w:rPr>
        <w:t xml:space="preserve">for LEO, the typical footprint size could be with diameter from 20-1000 km while for GEO the footprint size diameter can range from 200 -3500 km </w:t>
      </w:r>
      <w:bookmarkStart w:id="6" w:name="OLE_LINK7"/>
      <w:r>
        <w:rPr>
          <w:rFonts w:hint="eastAsia"/>
        </w:rPr>
        <w:t>[from 38821, table 4.1-1.]</w:t>
      </w:r>
      <w:bookmarkEnd w:id="6"/>
      <w:r>
        <w:rPr>
          <w:rFonts w:hint="eastAsia"/>
        </w:rPr>
        <w:t xml:space="preserve"> Moreover, considering in actual deployment, the TN coverage is not evenly distributed, e.g., it would be more sparse in rural area and more dense in urban area. Therefore it is difficult to define a appropriate granularity used to indicate TN coverage for all scenario.</w:t>
      </w:r>
    </w:p>
    <w:p>
      <w:pPr>
        <w:rPr>
          <w:b/>
          <w:bCs/>
          <w:szCs w:val="20"/>
        </w:rPr>
      </w:pPr>
      <w:r>
        <w:rPr>
          <w:rFonts w:hint="eastAsia"/>
          <w:b/>
          <w:bCs/>
          <w:szCs w:val="20"/>
        </w:rPr>
        <w:t xml:space="preserve">Observation 6: Considering different NTN deployment (e.g., LEO, GEO) and the unevenly distributed TN coverage, it is difficult to define a appropriate granularity for indicating TN coverage for all scenarios. </w:t>
      </w:r>
    </w:p>
    <w:p>
      <w:pPr>
        <w:rPr>
          <w:szCs w:val="20"/>
        </w:rPr>
      </w:pPr>
      <w:r>
        <w:rPr>
          <w:rFonts w:hint="eastAsia"/>
          <w:szCs w:val="20"/>
        </w:rPr>
        <w:t>Another obstacle lies in the road is the coordination between NTN and TN. In order to obtain the TN coverage information NTN vendors need to coordinate with TN vendors for this information. However, this information may not always be guaranteed due to regional regulations or security concerns, which would be more difficult when NTN and TN are deployed by different vendors, which is very common in actual deployment.</w:t>
      </w:r>
    </w:p>
    <w:p>
      <w:pPr>
        <w:rPr>
          <w:b/>
          <w:bCs/>
          <w:szCs w:val="20"/>
        </w:rPr>
      </w:pPr>
      <w:r>
        <w:rPr>
          <w:rFonts w:hint="eastAsia"/>
          <w:b/>
          <w:bCs/>
          <w:szCs w:val="20"/>
        </w:rPr>
        <w:t>Observation 7: TN coverage information may not be a</w:t>
      </w:r>
      <w:r>
        <w:rPr>
          <w:b/>
          <w:bCs/>
          <w:szCs w:val="20"/>
        </w:rPr>
        <w:t>l</w:t>
      </w:r>
      <w:r>
        <w:rPr>
          <w:rFonts w:hint="eastAsia"/>
          <w:b/>
          <w:bCs/>
          <w:szCs w:val="20"/>
        </w:rPr>
        <w:t>ways available since NTN-TN coordination is needed for obtaining this information, especially when there are deployed by different vendors.</w:t>
      </w:r>
    </w:p>
    <w:p>
      <w:pPr>
        <w:rPr>
          <w:szCs w:val="20"/>
        </w:rPr>
      </w:pPr>
      <w:r>
        <w:rPr>
          <w:rFonts w:hint="eastAsia"/>
          <w:szCs w:val="20"/>
        </w:rPr>
        <w:t>Based on above it is suggest that not to pursue the solution on proving TN coverage information unless clear gain is proofed.</w:t>
      </w:r>
    </w:p>
    <w:p>
      <w:pPr>
        <w:rPr>
          <w:rStyle w:val="65"/>
          <w:rFonts w:hint="default"/>
          <w:lang w:val="en-US" w:eastAsia="zh-CN"/>
        </w:rPr>
      </w:pPr>
      <w:r>
        <w:rPr>
          <w:rFonts w:hint="eastAsia" w:ascii="Times New Roman" w:hAnsi="Times New Roman" w:cs="Times New Roman"/>
          <w:b/>
          <w:bCs/>
          <w:szCs w:val="20"/>
          <w:lang w:val="en-US" w:eastAsia="zh-CN"/>
        </w:rPr>
        <w:t>Proposal 1: Unless clear gain is proofed, RAN2 deprioritize the discussion on proving TN coverage information.</w:t>
      </w:r>
    </w:p>
    <w:p>
      <w:r>
        <w:rPr>
          <w:rFonts w:hint="eastAsia"/>
        </w:rPr>
        <w:t xml:space="preserve">However, in case the frequency of certain NW type is present, NW might still want to relax measurement on certain NW type due to power consumption concerns. For example, in order to save NW power consumption, NW might want to shut-down TN BS when there is not many UEs with delay-sensitive traffic and offload UEs to NTN. In this case UE can relax neighboring cells measurement on TN. </w:t>
      </w:r>
    </w:p>
    <w:p>
      <w:pPr>
        <w:rPr>
          <w:b/>
          <w:bCs/>
          <w:szCs w:val="20"/>
        </w:rPr>
      </w:pPr>
      <w:r>
        <w:rPr>
          <w:rFonts w:hint="eastAsia"/>
          <w:b/>
          <w:bCs/>
          <w:szCs w:val="20"/>
        </w:rPr>
        <w:t>Observation 8: For power saving consideration, UE can be configured to relax neighboring cell measurements on another NW type.</w:t>
      </w:r>
    </w:p>
    <w:p>
      <w:r>
        <w:rPr>
          <w:rFonts w:hint="eastAsia"/>
        </w:rPr>
        <w:t>For this purpose below options are identified:</w:t>
      </w:r>
    </w:p>
    <w:p>
      <w:pPr>
        <w:pStyle w:val="68"/>
        <w:widowControl/>
        <w:numPr>
          <w:ilvl w:val="0"/>
          <w:numId w:val="6"/>
        </w:numPr>
        <w:ind w:firstLineChars="0"/>
        <w:rPr>
          <w:bCs/>
          <w:kern w:val="0"/>
          <w:szCs w:val="20"/>
        </w:rPr>
      </w:pPr>
      <w:r>
        <w:rPr>
          <w:bCs/>
          <w:kern w:val="0"/>
          <w:szCs w:val="20"/>
        </w:rPr>
        <w:t>Option 1: Deactivate measurements on another network type cells when UE camps on one NW type cell, e.g. deactivate measurements on NTN when UE is camped on TN cell.</w:t>
      </w:r>
    </w:p>
    <w:p>
      <w:pPr>
        <w:pStyle w:val="68"/>
        <w:widowControl/>
        <w:numPr>
          <w:ilvl w:val="0"/>
          <w:numId w:val="6"/>
        </w:numPr>
        <w:ind w:firstLineChars="0"/>
        <w:rPr>
          <w:bCs/>
          <w:kern w:val="0"/>
          <w:szCs w:val="20"/>
        </w:rPr>
      </w:pPr>
      <w:r>
        <w:rPr>
          <w:bCs/>
          <w:kern w:val="0"/>
          <w:szCs w:val="20"/>
        </w:rPr>
        <w:t>Option 2: Configure long periodicity for measurements on the other network type cells, e.g. configure long periodicity for measurements on NTN cells when UE is camped on TN cell.</w:t>
      </w:r>
    </w:p>
    <w:p>
      <w:pPr>
        <w:pStyle w:val="68"/>
        <w:widowControl/>
        <w:numPr>
          <w:ilvl w:val="0"/>
          <w:numId w:val="6"/>
        </w:numPr>
        <w:ind w:firstLineChars="0"/>
      </w:pPr>
      <w:r>
        <w:rPr>
          <w:bCs/>
          <w:kern w:val="0"/>
          <w:szCs w:val="20"/>
        </w:rPr>
        <w:t>Option 3: Autonomous search for cells of the other network type and send proximity indication to network when cells of the other network type is detected.</w:t>
      </w:r>
      <w:r>
        <w:t xml:space="preserve"> </w:t>
      </w:r>
    </w:p>
    <w:p>
      <w:pPr>
        <w:pStyle w:val="68"/>
        <w:widowControl/>
        <w:ind w:firstLine="0" w:firstLineChars="0"/>
      </w:pPr>
      <w:r>
        <w:rPr>
          <w:rFonts w:hint="eastAsia"/>
        </w:rPr>
        <w:t xml:space="preserve">Option 1 might lead to lose of coverage; option 2 is difficult for NW implementation due to lack of TN-NTN coordination. </w:t>
      </w:r>
    </w:p>
    <w:p>
      <w:pPr>
        <w:rPr>
          <w:b/>
          <w:bCs/>
          <w:szCs w:val="20"/>
        </w:rPr>
      </w:pPr>
      <w:r>
        <w:rPr>
          <w:rFonts w:hint="eastAsia"/>
          <w:b/>
          <w:bCs/>
          <w:szCs w:val="20"/>
        </w:rPr>
        <w:t>Observation 9: To deactivate neighboring cell measurements on another NW type might have the risk of losing cell coverage while configure a larger measurement periodicity requires NTN-TN coordination which may not be guaranteed.</w:t>
      </w:r>
    </w:p>
    <w:p>
      <w:r>
        <w:rPr>
          <w:rFonts w:hint="eastAsia"/>
        </w:rPr>
        <w:t>Option 3 consider similar idea as CSG cell search in LTE. A</w:t>
      </w:r>
      <w:r>
        <w:t xml:space="preserve">n indication can be sent from the camped TN cell to UE to enable autonomous search for NTN cells. UE will then decide when and/or where to search for a </w:t>
      </w:r>
      <w:r>
        <w:rPr>
          <w:rFonts w:hint="eastAsia"/>
        </w:rPr>
        <w:t>N</w:t>
      </w:r>
      <w:r>
        <w:t>TN cell by implementation. For example, UE can perform measurements on the visited NTN cells or frequencies to see if there is any NTN cell nearby. If one or more NTN cells are found by UE, UE in RRC_IDLE or RRC_INACTIVE can decide to re-select to a found NTN cell while UE in RRC_CONNECTED can send a proximity indication to NW so that NW would be aware of the coverage of another network type and configure measurements accordingly, which requires less coordination between TN and NTN cells and relax the measurements on the other network type for UE.</w:t>
      </w:r>
    </w:p>
    <w:p>
      <w:pPr>
        <w:rPr>
          <w:b/>
          <w:bCs/>
          <w:szCs w:val="20"/>
        </w:rPr>
      </w:pPr>
      <w:r>
        <w:rPr>
          <w:rFonts w:hint="eastAsia"/>
          <w:b/>
          <w:bCs/>
          <w:szCs w:val="20"/>
        </w:rPr>
        <w:t xml:space="preserve">Observation 10: Similar function as autonomous CSG cell search defined in LTE can be used for searching cells on another NW type in NTN, which </w:t>
      </w:r>
      <w:r>
        <w:rPr>
          <w:b/>
          <w:bCs/>
          <w:szCs w:val="20"/>
        </w:rPr>
        <w:t>requires less coordination between TN and NTN cells and relax the measurements on the other network type for UE.</w:t>
      </w:r>
    </w:p>
    <w:p>
      <w:pPr>
        <w:widowControl/>
        <w:rPr>
          <w:bCs/>
          <w:kern w:val="0"/>
          <w:szCs w:val="20"/>
        </w:rPr>
      </w:pPr>
      <w:r>
        <w:rPr>
          <w:bCs/>
          <w:kern w:val="0"/>
          <w:szCs w:val="20"/>
        </w:rPr>
        <w:t xml:space="preserve">With the above consideration, </w:t>
      </w:r>
      <w:r>
        <w:rPr>
          <w:rFonts w:hint="eastAsia"/>
          <w:bCs/>
          <w:kern w:val="0"/>
          <w:szCs w:val="20"/>
        </w:rPr>
        <w:t>below proposals are made:</w:t>
      </w:r>
    </w:p>
    <w:p>
      <w:pPr>
        <w:rPr>
          <w:b/>
          <w:bCs/>
          <w:szCs w:val="20"/>
        </w:rPr>
      </w:pPr>
      <w:r>
        <w:rPr>
          <w:b/>
          <w:bCs/>
          <w:szCs w:val="20"/>
        </w:rPr>
        <w:t>Proposal</w:t>
      </w:r>
      <w:r>
        <w:rPr>
          <w:rFonts w:hint="eastAsia"/>
          <w:b/>
          <w:bCs/>
          <w:szCs w:val="20"/>
        </w:rPr>
        <w:t xml:space="preserve"> 2</w:t>
      </w:r>
      <w:r>
        <w:rPr>
          <w:b/>
          <w:bCs/>
          <w:szCs w:val="20"/>
        </w:rPr>
        <w:t xml:space="preserve">: An indication is provided from the camped cell to UE to enable autonomous search function for cells of another network type, e.g. TN or NTN. </w:t>
      </w:r>
    </w:p>
    <w:p>
      <w:pPr>
        <w:rPr>
          <w:b/>
          <w:bCs/>
          <w:szCs w:val="20"/>
        </w:rPr>
      </w:pPr>
      <w:r>
        <w:rPr>
          <w:b/>
          <w:bCs/>
          <w:szCs w:val="20"/>
        </w:rPr>
        <w:t xml:space="preserve">Proposal </w:t>
      </w:r>
      <w:r>
        <w:rPr>
          <w:rFonts w:hint="eastAsia"/>
          <w:b/>
          <w:bCs/>
          <w:szCs w:val="20"/>
        </w:rPr>
        <w:t>3</w:t>
      </w:r>
      <w:r>
        <w:rPr>
          <w:b/>
          <w:bCs/>
          <w:szCs w:val="20"/>
        </w:rPr>
        <w:t>: For UE in RRC_CONNECTED, a proximity indication can be sent to the network to indicate that the UE is entering or leaving the proximity of one or more cells of another network type which are detected based on autonomous search function.</w:t>
      </w:r>
    </w:p>
    <w:p>
      <w:pPr>
        <w:pStyle w:val="68"/>
        <w:widowControl/>
        <w:ind w:firstLine="0" w:firstLineChars="0"/>
        <w:jc w:val="left"/>
        <w:rPr>
          <w:rFonts w:ascii="Arial" w:hAnsi="Arial" w:cs="Arial"/>
          <w:b/>
          <w:szCs w:val="20"/>
        </w:rPr>
      </w:pPr>
    </w:p>
    <w:bookmarkEnd w:id="3"/>
    <w:bookmarkEnd w:id="4"/>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rPr>
          <w:rFonts w:ascii="Arial" w:hAnsi="Arial" w:cs="Arial"/>
          <w:bCs/>
          <w:kern w:val="0"/>
          <w:szCs w:val="20"/>
        </w:rPr>
      </w:pPr>
      <w:r>
        <w:rPr>
          <w:rFonts w:ascii="Arial" w:hAnsi="Arial" w:cs="Arial"/>
          <w:bCs/>
          <w:kern w:val="0"/>
          <w:szCs w:val="20"/>
        </w:rPr>
        <w:t xml:space="preserve">Based on the analysis in previous sections, the following </w:t>
      </w:r>
      <w:r>
        <w:rPr>
          <w:rFonts w:hint="eastAsia" w:ascii="Arial" w:hAnsi="Arial" w:cs="Arial"/>
          <w:bCs/>
          <w:kern w:val="0"/>
          <w:szCs w:val="20"/>
        </w:rPr>
        <w:t xml:space="preserve">observations and </w:t>
      </w:r>
      <w:r>
        <w:rPr>
          <w:rFonts w:ascii="Arial" w:hAnsi="Arial" w:cs="Arial"/>
          <w:bCs/>
          <w:kern w:val="0"/>
          <w:szCs w:val="20"/>
        </w:rPr>
        <w:t xml:space="preserve">proposals are given: </w:t>
      </w:r>
    </w:p>
    <w:p>
      <w:pPr>
        <w:rPr>
          <w:i/>
          <w:iCs/>
        </w:rPr>
      </w:pPr>
      <w:r>
        <w:rPr>
          <w:rFonts w:hint="eastAsia"/>
          <w:i/>
          <w:iCs/>
          <w:szCs w:val="20"/>
        </w:rPr>
        <w:t>Observation 1: freqBandIndicatorNR in SIB1/4 can be used to differentiate NTN and TN cell.</w:t>
      </w:r>
    </w:p>
    <w:p>
      <w:pPr>
        <w:rPr>
          <w:i/>
          <w:iCs/>
          <w:szCs w:val="20"/>
        </w:rPr>
      </w:pPr>
      <w:r>
        <w:rPr>
          <w:rFonts w:hint="eastAsia"/>
          <w:i/>
          <w:iCs/>
          <w:szCs w:val="20"/>
        </w:rPr>
        <w:t xml:space="preserve">Observation 2: When there is no TN coverage, it is possible for NW to not provide TN frequency in SIB3/4/19, then UE is not required to perform neighboring cell measurements on TN cells. </w:t>
      </w:r>
    </w:p>
    <w:p>
      <w:pPr>
        <w:rPr>
          <w:i/>
          <w:iCs/>
          <w:szCs w:val="20"/>
        </w:rPr>
      </w:pPr>
      <w:r>
        <w:rPr>
          <w:rFonts w:hint="eastAsia"/>
          <w:i/>
          <w:iCs/>
          <w:szCs w:val="20"/>
        </w:rPr>
        <w:t>Observation 3: Another motivation to provide TN coverage is to avoid frequently update neighboring cell frequency for measurements, while there are still additional signalling overhead and UE storage requirement needed, the actual gain can be achieved is uncertain.</w:t>
      </w:r>
    </w:p>
    <w:p>
      <w:pPr>
        <w:rPr>
          <w:i/>
          <w:iCs/>
          <w:szCs w:val="20"/>
        </w:rPr>
      </w:pPr>
      <w:r>
        <w:rPr>
          <w:rFonts w:hint="eastAsia"/>
          <w:i/>
          <w:iCs/>
          <w:szCs w:val="20"/>
        </w:rPr>
        <w:t>Observation 4: Provide UE with static TN coverage correspondent to geographical areas has the risk to expose BS locations which is not desired for security and privacy concerns.</w:t>
      </w:r>
    </w:p>
    <w:p>
      <w:pPr>
        <w:rPr>
          <w:i/>
          <w:iCs/>
          <w:szCs w:val="20"/>
        </w:rPr>
      </w:pPr>
      <w:r>
        <w:rPr>
          <w:rFonts w:hint="eastAsia"/>
          <w:i/>
          <w:iCs/>
          <w:szCs w:val="20"/>
        </w:rPr>
        <w:t>Observation 5: Provide UE with temporary TN coverage corresponding current serving NTN cell has less security concern but would require more signalling overhead to update the information with the movement of satellite.</w:t>
      </w:r>
    </w:p>
    <w:p>
      <w:pPr>
        <w:rPr>
          <w:i/>
          <w:iCs/>
          <w:szCs w:val="20"/>
        </w:rPr>
      </w:pPr>
      <w:r>
        <w:rPr>
          <w:rFonts w:hint="eastAsia"/>
          <w:i/>
          <w:iCs/>
          <w:szCs w:val="20"/>
        </w:rPr>
        <w:t xml:space="preserve">Observation 6: Considering different NTN deployment (e.g., LEO, GEO) and the unevenly distributed TN coverage, it is difficult to define a appropriate granularity for indicating TN coverage for all scenarios. </w:t>
      </w:r>
    </w:p>
    <w:p>
      <w:pPr>
        <w:rPr>
          <w:i/>
          <w:iCs/>
          <w:szCs w:val="20"/>
        </w:rPr>
      </w:pPr>
      <w:r>
        <w:rPr>
          <w:rFonts w:hint="eastAsia"/>
          <w:i/>
          <w:iCs/>
          <w:szCs w:val="20"/>
        </w:rPr>
        <w:t>Observation 7: TN coverage information may not be a;ways available since NTN-TN coordination is needed for obtaining this information, especially when there are deployed by different vendors.</w:t>
      </w:r>
    </w:p>
    <w:p>
      <w:pPr>
        <w:rPr>
          <w:i/>
          <w:iCs/>
        </w:rPr>
      </w:pPr>
      <w:r>
        <w:rPr>
          <w:rFonts w:hint="eastAsia"/>
          <w:i/>
          <w:iCs/>
        </w:rPr>
        <w:t>Observation 8: For power saving consideration, UE can be configured to relax neighboring cell measurements on another NW type.</w:t>
      </w:r>
    </w:p>
    <w:p>
      <w:pPr>
        <w:pStyle w:val="68"/>
        <w:widowControl/>
        <w:ind w:firstLine="0" w:firstLineChars="0"/>
        <w:rPr>
          <w:i/>
          <w:iCs/>
        </w:rPr>
      </w:pPr>
      <w:r>
        <w:rPr>
          <w:rFonts w:hint="eastAsia"/>
          <w:i/>
          <w:iCs/>
          <w:kern w:val="0"/>
          <w:szCs w:val="20"/>
        </w:rPr>
        <w:t>Observation 9: To deactivate neighboring cell measurements on another NW type might have the risk of losing cell coverage while configure a larger measurement periodicity requires NTN-TN coordination which may not be guaranteed.</w:t>
      </w:r>
    </w:p>
    <w:p>
      <w:pPr>
        <w:pStyle w:val="68"/>
        <w:widowControl/>
        <w:ind w:firstLine="0" w:firstLineChars="0"/>
        <w:rPr>
          <w:i/>
          <w:iCs/>
          <w:kern w:val="0"/>
          <w:szCs w:val="20"/>
        </w:rPr>
      </w:pPr>
      <w:r>
        <w:rPr>
          <w:rFonts w:hint="eastAsia"/>
          <w:i/>
          <w:iCs/>
          <w:kern w:val="0"/>
          <w:szCs w:val="20"/>
        </w:rPr>
        <w:t xml:space="preserve">Observation 10: Similar function as autonomous CSG cell search defined in LTE can be used for searching cells on another NW type in NTN, which </w:t>
      </w:r>
      <w:r>
        <w:rPr>
          <w:i/>
          <w:iCs/>
          <w:kern w:val="0"/>
          <w:szCs w:val="20"/>
        </w:rPr>
        <w:t>requires less coordination between TN and NTN cells and relax the measurements on the other network type for UE.</w:t>
      </w:r>
    </w:p>
    <w:p>
      <w:pPr>
        <w:rPr>
          <w:rStyle w:val="65"/>
          <w:rFonts w:hint="default"/>
          <w:lang w:val="en-US" w:eastAsia="zh-CN"/>
        </w:rPr>
      </w:pPr>
      <w:r>
        <w:rPr>
          <w:rFonts w:hint="eastAsia" w:ascii="Times New Roman" w:hAnsi="Times New Roman" w:cs="Times New Roman"/>
          <w:b/>
          <w:bCs/>
          <w:szCs w:val="20"/>
          <w:lang w:val="en-US" w:eastAsia="zh-CN"/>
        </w:rPr>
        <w:t>Proposal 1: Unless clear gain is proofed, RAN2 deprioritize the discussion on proving TN coverage information.</w:t>
      </w:r>
    </w:p>
    <w:p>
      <w:pPr>
        <w:rPr>
          <w:b/>
          <w:bCs/>
          <w:szCs w:val="20"/>
        </w:rPr>
      </w:pPr>
      <w:bookmarkStart w:id="7" w:name="_GoBack"/>
      <w:bookmarkEnd w:id="7"/>
      <w:r>
        <w:rPr>
          <w:b/>
          <w:bCs/>
          <w:szCs w:val="20"/>
        </w:rPr>
        <w:t>Proposal</w:t>
      </w:r>
      <w:r>
        <w:rPr>
          <w:rFonts w:hint="eastAsia"/>
          <w:b/>
          <w:bCs/>
          <w:szCs w:val="20"/>
        </w:rPr>
        <w:t xml:space="preserve"> 2</w:t>
      </w:r>
      <w:r>
        <w:rPr>
          <w:b/>
          <w:bCs/>
          <w:szCs w:val="20"/>
        </w:rPr>
        <w:t xml:space="preserve">: An indication is provided from the camped cell to UE to enable autonomous search function for cells of another network type, e.g. TN or NTN. </w:t>
      </w:r>
    </w:p>
    <w:p>
      <w:pPr>
        <w:rPr>
          <w:b/>
          <w:bCs/>
          <w:szCs w:val="20"/>
        </w:rPr>
      </w:pPr>
      <w:r>
        <w:rPr>
          <w:b/>
          <w:bCs/>
          <w:szCs w:val="20"/>
        </w:rPr>
        <w:t xml:space="preserve">Proposal </w:t>
      </w:r>
      <w:r>
        <w:rPr>
          <w:rFonts w:hint="eastAsia"/>
          <w:b/>
          <w:bCs/>
          <w:szCs w:val="20"/>
        </w:rPr>
        <w:t>3</w:t>
      </w:r>
      <w:r>
        <w:rPr>
          <w:b/>
          <w:bCs/>
          <w:szCs w:val="20"/>
        </w:rPr>
        <w:t>: For UE in RRC_CONNECTED, a proximity indication can be sent to the network to indicate that the UE is entering or leaving the proximity of one or more cells of another network type which are detected based on autonomous search function.</w:t>
      </w:r>
    </w:p>
    <w:p>
      <w:pPr>
        <w:pStyle w:val="68"/>
        <w:widowControl/>
        <w:ind w:firstLine="0" w:firstLineChars="0"/>
        <w:jc w:val="left"/>
        <w:rPr>
          <w:rFonts w:ascii="Arial" w:hAnsi="Arial" w:cs="Arial"/>
          <w:b/>
          <w:szCs w:val="20"/>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sectPr>
          <w:headerReference r:id="rId3" w:type="default"/>
          <w:footerReference r:id="rId4" w:type="default"/>
          <w:footerReference r:id="rId5" w:type="even"/>
          <w:pgSz w:w="11906" w:h="16838"/>
          <w:pgMar w:top="1440" w:right="1440" w:bottom="1440" w:left="1417" w:header="851" w:footer="992" w:gutter="0"/>
          <w:cols w:space="720" w:num="1"/>
          <w:docGrid w:type="lines" w:linePitch="312" w:charSpace="0"/>
        </w:sect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r>
        <w:rPr>
          <w:rFonts w:hint="eastAsia" w:ascii="Arial" w:hAnsi="Arial" w:cs="Arial"/>
          <w:b w:val="0"/>
          <w:bCs w:val="0"/>
          <w:kern w:val="0"/>
          <w:sz w:val="32"/>
          <w:szCs w:val="36"/>
        </w:rPr>
        <w:t xml:space="preserve"> </w:t>
      </w:r>
    </w:p>
    <w:p>
      <w:pPr>
        <w:numPr>
          <w:ilvl w:val="0"/>
          <w:numId w:val="7"/>
        </w:numPr>
        <w:spacing w:before="156"/>
        <w:rPr>
          <w:rFonts w:hint="eastAsia"/>
          <w:color w:val="000000"/>
          <w:sz w:val="22"/>
          <w:szCs w:val="22"/>
          <w:lang w:val="en-US" w:eastAsia="zh-CN"/>
        </w:rPr>
      </w:pPr>
      <w:r>
        <w:rPr>
          <w:rFonts w:hint="eastAsia"/>
          <w:color w:val="000000"/>
          <w:sz w:val="22"/>
          <w:szCs w:val="22"/>
          <w:lang w:val="en-US" w:eastAsia="zh-CN"/>
        </w:rPr>
        <w:t>R2-2213001</w:t>
      </w:r>
      <w:r>
        <w:rPr>
          <w:rFonts w:hint="eastAsia"/>
          <w:color w:val="000000"/>
          <w:sz w:val="22"/>
          <w:szCs w:val="22"/>
          <w:lang w:val="en-US" w:eastAsia="zh-CN"/>
        </w:rPr>
        <w:tab/>
      </w:r>
      <w:r>
        <w:rPr>
          <w:rFonts w:hint="eastAsia"/>
          <w:color w:val="000000"/>
          <w:sz w:val="22"/>
          <w:szCs w:val="22"/>
          <w:lang w:val="en-US" w:eastAsia="zh-CN"/>
        </w:rPr>
        <w:t>Report from Break-Out Session on NTN, IoT NTN, RedCap and CE</w:t>
      </w:r>
      <w:r>
        <w:rPr>
          <w:rFonts w:hint="eastAsia"/>
          <w:color w:val="000000"/>
          <w:sz w:val="22"/>
          <w:szCs w:val="22"/>
          <w:lang w:val="en-US" w:eastAsia="zh-CN"/>
        </w:rPr>
        <w:tab/>
      </w:r>
      <w:r>
        <w:rPr>
          <w:rFonts w:hint="eastAsia"/>
          <w:color w:val="000000"/>
          <w:sz w:val="22"/>
          <w:szCs w:val="22"/>
          <w:lang w:val="en-US" w:eastAsia="zh-CN"/>
        </w:rPr>
        <w:t>Vice Chairman (ZTE)</w:t>
      </w:r>
      <w:r>
        <w:rPr>
          <w:rFonts w:hint="eastAsia"/>
          <w:color w:val="000000"/>
          <w:sz w:val="22"/>
          <w:szCs w:val="22"/>
          <w:lang w:val="en-US" w:eastAsia="zh-CN"/>
        </w:rPr>
        <w:tab/>
      </w:r>
      <w:r>
        <w:rPr>
          <w:rFonts w:hint="eastAsia"/>
          <w:color w:val="000000"/>
          <w:sz w:val="22"/>
          <w:szCs w:val="22"/>
          <w:lang w:val="en-US" w:eastAsia="zh-CN"/>
        </w:rPr>
        <w:t>Report</w:t>
      </w:r>
    </w:p>
    <w:p>
      <w:pPr>
        <w:rPr>
          <w:rFonts w:ascii="Arial" w:hAnsi="Arial" w:cs="Arial"/>
          <w:bCs/>
          <w:kern w:val="0"/>
          <w:szCs w:val="20"/>
        </w:rPr>
      </w:pPr>
    </w:p>
    <w:sectPr>
      <w:pgSz w:w="11906" w:h="16838"/>
      <w:pgMar w:top="1440" w:right="1440"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A0E5FF"/>
    <w:multiLevelType w:val="singleLevel"/>
    <w:tmpl w:val="F4A0E5FF"/>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1D31D31"/>
    <w:multiLevelType w:val="singleLevel"/>
    <w:tmpl w:val="01D31D31"/>
    <w:lvl w:ilvl="0" w:tentative="0">
      <w:start w:val="1"/>
      <w:numFmt w:val="bullet"/>
      <w:lvlText w:val=""/>
      <w:lvlJc w:val="left"/>
      <w:pPr>
        <w:tabs>
          <w:tab w:val="left" w:pos="420"/>
        </w:tabs>
        <w:ind w:left="840" w:hanging="420"/>
      </w:pPr>
      <w:rPr>
        <w:rFonts w:hint="default" w:ascii="Wingdings" w:hAnsi="Wingdings"/>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BE14BE"/>
    <w:multiLevelType w:val="singleLevel"/>
    <w:tmpl w:val="6BBE14BE"/>
    <w:lvl w:ilvl="0" w:tentative="0">
      <w:start w:val="1"/>
      <w:numFmt w:val="decimal"/>
      <w:lvlText w:val="%1."/>
      <w:lvlJc w:val="left"/>
      <w:pPr>
        <w:tabs>
          <w:tab w:val="left" w:pos="312"/>
        </w:tabs>
      </w:pPr>
    </w:lvl>
  </w:abstractNum>
  <w:abstractNum w:abstractNumId="6">
    <w:nsid w:val="7EA5BA93"/>
    <w:multiLevelType w:val="singleLevel"/>
    <w:tmpl w:val="7EA5BA93"/>
    <w:lvl w:ilvl="0" w:tentative="0">
      <w:start w:val="1"/>
      <w:numFmt w:val="bullet"/>
      <w:lvlText w:val=""/>
      <w:lvlJc w:val="left"/>
      <w:pPr>
        <w:ind w:left="420" w:hanging="420"/>
      </w:pPr>
      <w:rPr>
        <w:rFonts w:hint="default" w:ascii="Wingdings" w:hAnsi="Wingdings"/>
      </w:rPr>
    </w:lvl>
  </w:abstractNum>
  <w:num w:numId="1">
    <w:abstractNumId w:val="1"/>
  </w:num>
  <w:num w:numId="2">
    <w:abstractNumId w:val="4"/>
  </w:num>
  <w:num w:numId="3">
    <w:abstractNumId w:val="3"/>
  </w:num>
  <w:num w:numId="4">
    <w:abstractNumId w:val="5"/>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1D6A"/>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2B43"/>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6785"/>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0CF"/>
    <w:rsid w:val="000D6228"/>
    <w:rsid w:val="000D6D39"/>
    <w:rsid w:val="000E09FD"/>
    <w:rsid w:val="000E0C43"/>
    <w:rsid w:val="000E1125"/>
    <w:rsid w:val="000E1993"/>
    <w:rsid w:val="000E3B8A"/>
    <w:rsid w:val="000E5499"/>
    <w:rsid w:val="000E58FE"/>
    <w:rsid w:val="000E6390"/>
    <w:rsid w:val="000E7A4B"/>
    <w:rsid w:val="000F0022"/>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4F4"/>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1DA1"/>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319"/>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4F1"/>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5EBF"/>
    <w:rsid w:val="00286D9E"/>
    <w:rsid w:val="0029036D"/>
    <w:rsid w:val="00290E18"/>
    <w:rsid w:val="00290FA9"/>
    <w:rsid w:val="00291D54"/>
    <w:rsid w:val="00293A6E"/>
    <w:rsid w:val="00295507"/>
    <w:rsid w:val="00295842"/>
    <w:rsid w:val="00296302"/>
    <w:rsid w:val="00297A88"/>
    <w:rsid w:val="00297E40"/>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6DDC"/>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264"/>
    <w:rsid w:val="00310544"/>
    <w:rsid w:val="003110B2"/>
    <w:rsid w:val="00311F3D"/>
    <w:rsid w:val="00312C1A"/>
    <w:rsid w:val="00312DD1"/>
    <w:rsid w:val="00313308"/>
    <w:rsid w:val="0031414B"/>
    <w:rsid w:val="00314283"/>
    <w:rsid w:val="003144CA"/>
    <w:rsid w:val="00315418"/>
    <w:rsid w:val="00316470"/>
    <w:rsid w:val="00316E20"/>
    <w:rsid w:val="003171FD"/>
    <w:rsid w:val="00321077"/>
    <w:rsid w:val="00321692"/>
    <w:rsid w:val="00322390"/>
    <w:rsid w:val="003228D4"/>
    <w:rsid w:val="00322E28"/>
    <w:rsid w:val="00322EDB"/>
    <w:rsid w:val="003248F8"/>
    <w:rsid w:val="0032533C"/>
    <w:rsid w:val="003268BB"/>
    <w:rsid w:val="003275E3"/>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6A5E"/>
    <w:rsid w:val="003D7035"/>
    <w:rsid w:val="003D770D"/>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8ED"/>
    <w:rsid w:val="004109CF"/>
    <w:rsid w:val="00411350"/>
    <w:rsid w:val="004123C0"/>
    <w:rsid w:val="00413229"/>
    <w:rsid w:val="00413D6F"/>
    <w:rsid w:val="00414C20"/>
    <w:rsid w:val="00415023"/>
    <w:rsid w:val="00416B5E"/>
    <w:rsid w:val="004175F0"/>
    <w:rsid w:val="00420F17"/>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3FC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5F7"/>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4FC0"/>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3A7"/>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09BB"/>
    <w:rsid w:val="005339E6"/>
    <w:rsid w:val="00534869"/>
    <w:rsid w:val="00534F6A"/>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03A"/>
    <w:rsid w:val="00546957"/>
    <w:rsid w:val="00547409"/>
    <w:rsid w:val="0054755B"/>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38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2C98"/>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1FB"/>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4D7D"/>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308A"/>
    <w:rsid w:val="006D4067"/>
    <w:rsid w:val="006D436D"/>
    <w:rsid w:val="006D4742"/>
    <w:rsid w:val="006D5430"/>
    <w:rsid w:val="006D614B"/>
    <w:rsid w:val="006D63EF"/>
    <w:rsid w:val="006D7C19"/>
    <w:rsid w:val="006D7CA8"/>
    <w:rsid w:val="006D7DC0"/>
    <w:rsid w:val="006E0220"/>
    <w:rsid w:val="006E0863"/>
    <w:rsid w:val="006E1867"/>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EC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82C"/>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063"/>
    <w:rsid w:val="0074088F"/>
    <w:rsid w:val="00741230"/>
    <w:rsid w:val="00742659"/>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57A"/>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9AF"/>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C74D0"/>
    <w:rsid w:val="007D1324"/>
    <w:rsid w:val="007D1769"/>
    <w:rsid w:val="007D2587"/>
    <w:rsid w:val="007D36F2"/>
    <w:rsid w:val="007D405E"/>
    <w:rsid w:val="007D4D85"/>
    <w:rsid w:val="007D5695"/>
    <w:rsid w:val="007D59EE"/>
    <w:rsid w:val="007D5A25"/>
    <w:rsid w:val="007E014C"/>
    <w:rsid w:val="007E0813"/>
    <w:rsid w:val="007E0BC6"/>
    <w:rsid w:val="007E0F24"/>
    <w:rsid w:val="007E14CD"/>
    <w:rsid w:val="007E17B1"/>
    <w:rsid w:val="007E27C0"/>
    <w:rsid w:val="007E2BFA"/>
    <w:rsid w:val="007E2EFD"/>
    <w:rsid w:val="007E417F"/>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5891"/>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BB0"/>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680"/>
    <w:rsid w:val="00842AA3"/>
    <w:rsid w:val="00843379"/>
    <w:rsid w:val="008436F0"/>
    <w:rsid w:val="00843DAA"/>
    <w:rsid w:val="00843F40"/>
    <w:rsid w:val="00845DB8"/>
    <w:rsid w:val="00845E4F"/>
    <w:rsid w:val="00846BE0"/>
    <w:rsid w:val="008470CC"/>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8A1"/>
    <w:rsid w:val="008B0FDB"/>
    <w:rsid w:val="008B2AF7"/>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B2"/>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350F"/>
    <w:rsid w:val="008F4502"/>
    <w:rsid w:val="008F45D4"/>
    <w:rsid w:val="008F662A"/>
    <w:rsid w:val="00900370"/>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53C"/>
    <w:rsid w:val="0096081E"/>
    <w:rsid w:val="00960F8E"/>
    <w:rsid w:val="0096137E"/>
    <w:rsid w:val="00961C60"/>
    <w:rsid w:val="00961E92"/>
    <w:rsid w:val="009624E6"/>
    <w:rsid w:val="0096444D"/>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42E6"/>
    <w:rsid w:val="009E619C"/>
    <w:rsid w:val="009E7020"/>
    <w:rsid w:val="009E7045"/>
    <w:rsid w:val="009E748B"/>
    <w:rsid w:val="009F012C"/>
    <w:rsid w:val="009F13FE"/>
    <w:rsid w:val="009F2244"/>
    <w:rsid w:val="009F2E2F"/>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FF9"/>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B27"/>
    <w:rsid w:val="00A5709E"/>
    <w:rsid w:val="00A57120"/>
    <w:rsid w:val="00A57123"/>
    <w:rsid w:val="00A5714F"/>
    <w:rsid w:val="00A6046D"/>
    <w:rsid w:val="00A6050B"/>
    <w:rsid w:val="00A612B9"/>
    <w:rsid w:val="00A624EA"/>
    <w:rsid w:val="00A63ABE"/>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616"/>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BF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1FEF"/>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B5F"/>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C22"/>
    <w:rsid w:val="00B615E7"/>
    <w:rsid w:val="00B61C12"/>
    <w:rsid w:val="00B6271A"/>
    <w:rsid w:val="00B6394A"/>
    <w:rsid w:val="00B6403B"/>
    <w:rsid w:val="00B64ABB"/>
    <w:rsid w:val="00B65BF6"/>
    <w:rsid w:val="00B66A64"/>
    <w:rsid w:val="00B66F1C"/>
    <w:rsid w:val="00B670CE"/>
    <w:rsid w:val="00B67B79"/>
    <w:rsid w:val="00B67E74"/>
    <w:rsid w:val="00B70262"/>
    <w:rsid w:val="00B716F8"/>
    <w:rsid w:val="00B7192C"/>
    <w:rsid w:val="00B72319"/>
    <w:rsid w:val="00B72EF4"/>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2A1C"/>
    <w:rsid w:val="00BE3213"/>
    <w:rsid w:val="00BE42CB"/>
    <w:rsid w:val="00BE6162"/>
    <w:rsid w:val="00BE6C9C"/>
    <w:rsid w:val="00BE6E9E"/>
    <w:rsid w:val="00BE6FC3"/>
    <w:rsid w:val="00BF0409"/>
    <w:rsid w:val="00BF0497"/>
    <w:rsid w:val="00BF0850"/>
    <w:rsid w:val="00BF08F6"/>
    <w:rsid w:val="00BF092B"/>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5767A"/>
    <w:rsid w:val="00C60064"/>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116B"/>
    <w:rsid w:val="00C82D97"/>
    <w:rsid w:val="00C83318"/>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26E"/>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1A9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3F75"/>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299"/>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1C36"/>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6A3B"/>
    <w:rsid w:val="00DE7478"/>
    <w:rsid w:val="00DF1FCE"/>
    <w:rsid w:val="00DF2709"/>
    <w:rsid w:val="00DF2CBF"/>
    <w:rsid w:val="00DF3BA1"/>
    <w:rsid w:val="00DF3CCE"/>
    <w:rsid w:val="00DF3FDD"/>
    <w:rsid w:val="00DF4CBC"/>
    <w:rsid w:val="00DF5370"/>
    <w:rsid w:val="00DF597F"/>
    <w:rsid w:val="00DF5E74"/>
    <w:rsid w:val="00DF6452"/>
    <w:rsid w:val="00DF6682"/>
    <w:rsid w:val="00DF6CC6"/>
    <w:rsid w:val="00DF7DED"/>
    <w:rsid w:val="00E0032E"/>
    <w:rsid w:val="00E0074D"/>
    <w:rsid w:val="00E007CD"/>
    <w:rsid w:val="00E0205D"/>
    <w:rsid w:val="00E03B13"/>
    <w:rsid w:val="00E03BE1"/>
    <w:rsid w:val="00E04060"/>
    <w:rsid w:val="00E0458A"/>
    <w:rsid w:val="00E048C6"/>
    <w:rsid w:val="00E06B20"/>
    <w:rsid w:val="00E0737F"/>
    <w:rsid w:val="00E1018A"/>
    <w:rsid w:val="00E10C7D"/>
    <w:rsid w:val="00E1155D"/>
    <w:rsid w:val="00E120F4"/>
    <w:rsid w:val="00E121B5"/>
    <w:rsid w:val="00E1226F"/>
    <w:rsid w:val="00E125F6"/>
    <w:rsid w:val="00E127C3"/>
    <w:rsid w:val="00E14C1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40E"/>
    <w:rsid w:val="00EA7720"/>
    <w:rsid w:val="00EA7F21"/>
    <w:rsid w:val="00EB1559"/>
    <w:rsid w:val="00EB1663"/>
    <w:rsid w:val="00EB4324"/>
    <w:rsid w:val="00EB4808"/>
    <w:rsid w:val="00EB4DD2"/>
    <w:rsid w:val="00EB6B1E"/>
    <w:rsid w:val="00EB6B41"/>
    <w:rsid w:val="00EB7739"/>
    <w:rsid w:val="00EB7DFF"/>
    <w:rsid w:val="00EC06D5"/>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040F"/>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18B3"/>
    <w:rsid w:val="00F429C0"/>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666"/>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AE0"/>
    <w:rsid w:val="00F96BAD"/>
    <w:rsid w:val="00F96C66"/>
    <w:rsid w:val="00F971E1"/>
    <w:rsid w:val="00F97D27"/>
    <w:rsid w:val="00FA20BF"/>
    <w:rsid w:val="00FA2F06"/>
    <w:rsid w:val="00FA34B5"/>
    <w:rsid w:val="00FA4FB5"/>
    <w:rsid w:val="00FA532D"/>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6B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B3BDF"/>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3B3250"/>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86A6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5C49F4"/>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41673"/>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7693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D96A7B"/>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A7F8A"/>
    <w:rsid w:val="0BEB0B21"/>
    <w:rsid w:val="0BF83F28"/>
    <w:rsid w:val="0C0511F2"/>
    <w:rsid w:val="0C074871"/>
    <w:rsid w:val="0C3255F2"/>
    <w:rsid w:val="0C355818"/>
    <w:rsid w:val="0C37777C"/>
    <w:rsid w:val="0C4057C9"/>
    <w:rsid w:val="0C5F6C01"/>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7184E"/>
    <w:rsid w:val="0F0939B9"/>
    <w:rsid w:val="0F0E6CDB"/>
    <w:rsid w:val="0F2C59E9"/>
    <w:rsid w:val="0F3A2C70"/>
    <w:rsid w:val="0F4143CE"/>
    <w:rsid w:val="0F4340EF"/>
    <w:rsid w:val="0F526842"/>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C53E40"/>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1452D"/>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5C6348"/>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9170A3"/>
    <w:rsid w:val="14A06FC1"/>
    <w:rsid w:val="14AC0D94"/>
    <w:rsid w:val="14AD5060"/>
    <w:rsid w:val="14B94964"/>
    <w:rsid w:val="14BB3A1F"/>
    <w:rsid w:val="14C8749C"/>
    <w:rsid w:val="14D969A6"/>
    <w:rsid w:val="14E306F6"/>
    <w:rsid w:val="14E61747"/>
    <w:rsid w:val="14E73F02"/>
    <w:rsid w:val="15011E25"/>
    <w:rsid w:val="1502097B"/>
    <w:rsid w:val="15337D09"/>
    <w:rsid w:val="153C211B"/>
    <w:rsid w:val="153C7063"/>
    <w:rsid w:val="15513899"/>
    <w:rsid w:val="155D0A7F"/>
    <w:rsid w:val="15684240"/>
    <w:rsid w:val="156F1C12"/>
    <w:rsid w:val="15784F72"/>
    <w:rsid w:val="1580763A"/>
    <w:rsid w:val="1586427B"/>
    <w:rsid w:val="15967E8D"/>
    <w:rsid w:val="159A07D2"/>
    <w:rsid w:val="159C63AC"/>
    <w:rsid w:val="15AA7739"/>
    <w:rsid w:val="15B82FBA"/>
    <w:rsid w:val="15BC4B29"/>
    <w:rsid w:val="15BE1C46"/>
    <w:rsid w:val="15C06260"/>
    <w:rsid w:val="15CA0DC6"/>
    <w:rsid w:val="15DD4A1C"/>
    <w:rsid w:val="15E90584"/>
    <w:rsid w:val="160321ED"/>
    <w:rsid w:val="160A0813"/>
    <w:rsid w:val="16263368"/>
    <w:rsid w:val="163103EC"/>
    <w:rsid w:val="163E496F"/>
    <w:rsid w:val="16401FC7"/>
    <w:rsid w:val="16597670"/>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12432"/>
    <w:rsid w:val="18CB7663"/>
    <w:rsid w:val="18CC5CF8"/>
    <w:rsid w:val="18CD0844"/>
    <w:rsid w:val="18D45411"/>
    <w:rsid w:val="18D63AE2"/>
    <w:rsid w:val="18F8655D"/>
    <w:rsid w:val="18FE2979"/>
    <w:rsid w:val="19057478"/>
    <w:rsid w:val="19075943"/>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D2271"/>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920C4A"/>
    <w:rsid w:val="1AA91D4F"/>
    <w:rsid w:val="1AB14FC0"/>
    <w:rsid w:val="1AB203D4"/>
    <w:rsid w:val="1AB77836"/>
    <w:rsid w:val="1AC94D1F"/>
    <w:rsid w:val="1ACE7057"/>
    <w:rsid w:val="1AD6153D"/>
    <w:rsid w:val="1ADA55B5"/>
    <w:rsid w:val="1ADC1643"/>
    <w:rsid w:val="1ADF0AC1"/>
    <w:rsid w:val="1AED219F"/>
    <w:rsid w:val="1AED2C11"/>
    <w:rsid w:val="1AF03D83"/>
    <w:rsid w:val="1B094BB4"/>
    <w:rsid w:val="1B0E04C0"/>
    <w:rsid w:val="1B0E27E5"/>
    <w:rsid w:val="1B192659"/>
    <w:rsid w:val="1B193B18"/>
    <w:rsid w:val="1B341EBA"/>
    <w:rsid w:val="1B3B5A5B"/>
    <w:rsid w:val="1B400993"/>
    <w:rsid w:val="1B401B13"/>
    <w:rsid w:val="1B4A340F"/>
    <w:rsid w:val="1B4B16C4"/>
    <w:rsid w:val="1B512965"/>
    <w:rsid w:val="1B5514DD"/>
    <w:rsid w:val="1B564BD8"/>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03368C"/>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C8040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57316"/>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491116"/>
    <w:rsid w:val="224F005B"/>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3F2753E"/>
    <w:rsid w:val="240B1BA7"/>
    <w:rsid w:val="241B3778"/>
    <w:rsid w:val="242244CF"/>
    <w:rsid w:val="242E7C25"/>
    <w:rsid w:val="243A6DF4"/>
    <w:rsid w:val="244B4209"/>
    <w:rsid w:val="24560AE2"/>
    <w:rsid w:val="24671C47"/>
    <w:rsid w:val="24794836"/>
    <w:rsid w:val="248C391F"/>
    <w:rsid w:val="24943AAF"/>
    <w:rsid w:val="249700EF"/>
    <w:rsid w:val="24996D32"/>
    <w:rsid w:val="24AF0519"/>
    <w:rsid w:val="24BC444C"/>
    <w:rsid w:val="24C16FF5"/>
    <w:rsid w:val="24D21B16"/>
    <w:rsid w:val="24EB0386"/>
    <w:rsid w:val="24EE205A"/>
    <w:rsid w:val="24FE54BC"/>
    <w:rsid w:val="25005E1F"/>
    <w:rsid w:val="2502385F"/>
    <w:rsid w:val="25031E33"/>
    <w:rsid w:val="25066118"/>
    <w:rsid w:val="250B6210"/>
    <w:rsid w:val="25132546"/>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DC5B4C"/>
    <w:rsid w:val="25E242BB"/>
    <w:rsid w:val="25E31A54"/>
    <w:rsid w:val="25E540FF"/>
    <w:rsid w:val="25E93B02"/>
    <w:rsid w:val="25EB3B02"/>
    <w:rsid w:val="25F07927"/>
    <w:rsid w:val="25F629AF"/>
    <w:rsid w:val="25F8089C"/>
    <w:rsid w:val="25FE3FFD"/>
    <w:rsid w:val="260354A1"/>
    <w:rsid w:val="260A2AFA"/>
    <w:rsid w:val="261747CB"/>
    <w:rsid w:val="26186461"/>
    <w:rsid w:val="2620186D"/>
    <w:rsid w:val="262162F5"/>
    <w:rsid w:val="262466CD"/>
    <w:rsid w:val="264E4C7F"/>
    <w:rsid w:val="26533224"/>
    <w:rsid w:val="26541061"/>
    <w:rsid w:val="265E494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7F469FF"/>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44A97"/>
    <w:rsid w:val="292722E1"/>
    <w:rsid w:val="29326B8F"/>
    <w:rsid w:val="293C58E0"/>
    <w:rsid w:val="29442AB2"/>
    <w:rsid w:val="29444E83"/>
    <w:rsid w:val="294566C3"/>
    <w:rsid w:val="2954302F"/>
    <w:rsid w:val="2956122D"/>
    <w:rsid w:val="29631E2D"/>
    <w:rsid w:val="297929F3"/>
    <w:rsid w:val="298D0F22"/>
    <w:rsid w:val="29A001A0"/>
    <w:rsid w:val="29AC7F64"/>
    <w:rsid w:val="29B025A4"/>
    <w:rsid w:val="29B223D3"/>
    <w:rsid w:val="29B5714B"/>
    <w:rsid w:val="29B82AFC"/>
    <w:rsid w:val="29CA6918"/>
    <w:rsid w:val="29CD5CFE"/>
    <w:rsid w:val="29DC6F28"/>
    <w:rsid w:val="29F101FE"/>
    <w:rsid w:val="29F83E3A"/>
    <w:rsid w:val="29FC0A34"/>
    <w:rsid w:val="2A065B82"/>
    <w:rsid w:val="2A132AC9"/>
    <w:rsid w:val="2A16029F"/>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C2EE3"/>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AE6C79"/>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5D4A64"/>
    <w:rsid w:val="2D696E27"/>
    <w:rsid w:val="2D90109D"/>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CA65FE"/>
    <w:rsid w:val="2ED237F3"/>
    <w:rsid w:val="2ED32DFF"/>
    <w:rsid w:val="2EE83A34"/>
    <w:rsid w:val="2EFE23E9"/>
    <w:rsid w:val="2F0C4C2A"/>
    <w:rsid w:val="2F0F563F"/>
    <w:rsid w:val="2F144960"/>
    <w:rsid w:val="2F1519D6"/>
    <w:rsid w:val="2F170C0F"/>
    <w:rsid w:val="2F1F3A4D"/>
    <w:rsid w:val="2F2B0AB4"/>
    <w:rsid w:val="2F2B4668"/>
    <w:rsid w:val="2F334031"/>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95F0D"/>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24EFE"/>
    <w:rsid w:val="31A30319"/>
    <w:rsid w:val="31A6662C"/>
    <w:rsid w:val="31B50898"/>
    <w:rsid w:val="31B50F9D"/>
    <w:rsid w:val="31B62FDB"/>
    <w:rsid w:val="31BA2482"/>
    <w:rsid w:val="31BE47CA"/>
    <w:rsid w:val="31D01CA2"/>
    <w:rsid w:val="31D45DBB"/>
    <w:rsid w:val="31DF176C"/>
    <w:rsid w:val="31E8134E"/>
    <w:rsid w:val="31F45A41"/>
    <w:rsid w:val="31FF4B7E"/>
    <w:rsid w:val="320A13F1"/>
    <w:rsid w:val="3211002E"/>
    <w:rsid w:val="322914C7"/>
    <w:rsid w:val="323A5F58"/>
    <w:rsid w:val="3246575B"/>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01F6E"/>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4C6F16"/>
    <w:rsid w:val="346C064E"/>
    <w:rsid w:val="346C77B6"/>
    <w:rsid w:val="34717DC6"/>
    <w:rsid w:val="347C176C"/>
    <w:rsid w:val="3487701B"/>
    <w:rsid w:val="349738A7"/>
    <w:rsid w:val="34A55B39"/>
    <w:rsid w:val="34A96C6F"/>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C67CEC"/>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57E30"/>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60989"/>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9C5849"/>
    <w:rsid w:val="3BA87780"/>
    <w:rsid w:val="3BAF72C4"/>
    <w:rsid w:val="3BB11956"/>
    <w:rsid w:val="3BB43E16"/>
    <w:rsid w:val="3BB605E3"/>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31D8A"/>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B979B4"/>
    <w:rsid w:val="3DCB24A6"/>
    <w:rsid w:val="3DCC1E7E"/>
    <w:rsid w:val="3DD4374A"/>
    <w:rsid w:val="3DDD29A0"/>
    <w:rsid w:val="3DE15919"/>
    <w:rsid w:val="3DE976C2"/>
    <w:rsid w:val="3DF90482"/>
    <w:rsid w:val="3DF95EC3"/>
    <w:rsid w:val="3DFA4B38"/>
    <w:rsid w:val="3DFE5953"/>
    <w:rsid w:val="3E143687"/>
    <w:rsid w:val="3E2C005F"/>
    <w:rsid w:val="3E325D1E"/>
    <w:rsid w:val="3E3976D3"/>
    <w:rsid w:val="3E4905DE"/>
    <w:rsid w:val="3E4C0877"/>
    <w:rsid w:val="3E5921CA"/>
    <w:rsid w:val="3E6A15A8"/>
    <w:rsid w:val="3E6B7465"/>
    <w:rsid w:val="3E707A7A"/>
    <w:rsid w:val="3E735B9C"/>
    <w:rsid w:val="3E7C330F"/>
    <w:rsid w:val="3E820130"/>
    <w:rsid w:val="3E8558DB"/>
    <w:rsid w:val="3E892D0A"/>
    <w:rsid w:val="3E9164DD"/>
    <w:rsid w:val="3EA07325"/>
    <w:rsid w:val="3EB2263C"/>
    <w:rsid w:val="3EC17934"/>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4786E"/>
    <w:rsid w:val="404558DE"/>
    <w:rsid w:val="404855D8"/>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73C7A"/>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097FF7"/>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830A6E"/>
    <w:rsid w:val="439259D2"/>
    <w:rsid w:val="439B4E7F"/>
    <w:rsid w:val="43B64920"/>
    <w:rsid w:val="43D13E89"/>
    <w:rsid w:val="43E3508A"/>
    <w:rsid w:val="43EB4BFE"/>
    <w:rsid w:val="43EE0ECC"/>
    <w:rsid w:val="43F4135D"/>
    <w:rsid w:val="43F71F07"/>
    <w:rsid w:val="43F7500D"/>
    <w:rsid w:val="44005E7B"/>
    <w:rsid w:val="44013179"/>
    <w:rsid w:val="440805B8"/>
    <w:rsid w:val="441218AF"/>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DE6F85"/>
    <w:rsid w:val="44EE6174"/>
    <w:rsid w:val="44EF1836"/>
    <w:rsid w:val="44F6488D"/>
    <w:rsid w:val="44FC2960"/>
    <w:rsid w:val="45026AC6"/>
    <w:rsid w:val="45044A12"/>
    <w:rsid w:val="450874C4"/>
    <w:rsid w:val="45123B46"/>
    <w:rsid w:val="45282A9A"/>
    <w:rsid w:val="452B6A1A"/>
    <w:rsid w:val="45334A20"/>
    <w:rsid w:val="453711EE"/>
    <w:rsid w:val="453C14B9"/>
    <w:rsid w:val="4548010A"/>
    <w:rsid w:val="45481632"/>
    <w:rsid w:val="455238CA"/>
    <w:rsid w:val="4589448D"/>
    <w:rsid w:val="45A9516E"/>
    <w:rsid w:val="45C86987"/>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665B7"/>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1B6A79"/>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1196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2A0020"/>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640F1"/>
    <w:rsid w:val="4C572817"/>
    <w:rsid w:val="4C5A1583"/>
    <w:rsid w:val="4C5A636B"/>
    <w:rsid w:val="4C6241E3"/>
    <w:rsid w:val="4C6369A7"/>
    <w:rsid w:val="4C644BBF"/>
    <w:rsid w:val="4C653585"/>
    <w:rsid w:val="4C6C14CD"/>
    <w:rsid w:val="4C6C224A"/>
    <w:rsid w:val="4C787DD0"/>
    <w:rsid w:val="4C7C366B"/>
    <w:rsid w:val="4C7D636D"/>
    <w:rsid w:val="4C873E85"/>
    <w:rsid w:val="4C8E3A1F"/>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2B59D9"/>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4DDA"/>
    <w:rsid w:val="503C72D7"/>
    <w:rsid w:val="503D204E"/>
    <w:rsid w:val="505E14C8"/>
    <w:rsid w:val="50621D1D"/>
    <w:rsid w:val="50660A6D"/>
    <w:rsid w:val="506C5899"/>
    <w:rsid w:val="50730E54"/>
    <w:rsid w:val="50731582"/>
    <w:rsid w:val="509A2E32"/>
    <w:rsid w:val="509F5FAB"/>
    <w:rsid w:val="50B51267"/>
    <w:rsid w:val="50D0779D"/>
    <w:rsid w:val="50D66339"/>
    <w:rsid w:val="50E2253E"/>
    <w:rsid w:val="50FD0E66"/>
    <w:rsid w:val="510B565B"/>
    <w:rsid w:val="51120212"/>
    <w:rsid w:val="51144DFE"/>
    <w:rsid w:val="511869DC"/>
    <w:rsid w:val="512D39B1"/>
    <w:rsid w:val="512E1A85"/>
    <w:rsid w:val="513779D9"/>
    <w:rsid w:val="513D3E59"/>
    <w:rsid w:val="51482EA1"/>
    <w:rsid w:val="5149740B"/>
    <w:rsid w:val="514E06C0"/>
    <w:rsid w:val="515446E1"/>
    <w:rsid w:val="5155290A"/>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20A4"/>
    <w:rsid w:val="54A6767D"/>
    <w:rsid w:val="54AC2B6D"/>
    <w:rsid w:val="54AC5454"/>
    <w:rsid w:val="54B04618"/>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000D2"/>
    <w:rsid w:val="55F261D1"/>
    <w:rsid w:val="55F33371"/>
    <w:rsid w:val="55F82D46"/>
    <w:rsid w:val="55FC62A2"/>
    <w:rsid w:val="55FE05F9"/>
    <w:rsid w:val="560C6075"/>
    <w:rsid w:val="561153A0"/>
    <w:rsid w:val="56162164"/>
    <w:rsid w:val="56362315"/>
    <w:rsid w:val="563C1BB1"/>
    <w:rsid w:val="563E05D4"/>
    <w:rsid w:val="564546A3"/>
    <w:rsid w:val="564F7F5F"/>
    <w:rsid w:val="5658660E"/>
    <w:rsid w:val="56664FB5"/>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9B0942"/>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9554FB"/>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41DFA"/>
    <w:rsid w:val="5BB60E07"/>
    <w:rsid w:val="5BB85E2E"/>
    <w:rsid w:val="5BBC15CD"/>
    <w:rsid w:val="5BC154FF"/>
    <w:rsid w:val="5BCE1DEC"/>
    <w:rsid w:val="5BF84A18"/>
    <w:rsid w:val="5BF86102"/>
    <w:rsid w:val="5C062A97"/>
    <w:rsid w:val="5C066946"/>
    <w:rsid w:val="5C0D0B5B"/>
    <w:rsid w:val="5C1B653E"/>
    <w:rsid w:val="5C1F1314"/>
    <w:rsid w:val="5C213896"/>
    <w:rsid w:val="5C244D0A"/>
    <w:rsid w:val="5C251B6A"/>
    <w:rsid w:val="5C2950BA"/>
    <w:rsid w:val="5C3077B3"/>
    <w:rsid w:val="5C3B38FA"/>
    <w:rsid w:val="5C4417DA"/>
    <w:rsid w:val="5C4616A2"/>
    <w:rsid w:val="5C5872CD"/>
    <w:rsid w:val="5C723D2D"/>
    <w:rsid w:val="5C7D6E15"/>
    <w:rsid w:val="5C855E5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657493"/>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6B1DD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3E6102"/>
    <w:rsid w:val="5F417E0E"/>
    <w:rsid w:val="5F4A55C6"/>
    <w:rsid w:val="5F4B3D65"/>
    <w:rsid w:val="5F5938BD"/>
    <w:rsid w:val="5F5A0BD2"/>
    <w:rsid w:val="5F605042"/>
    <w:rsid w:val="5F6930D0"/>
    <w:rsid w:val="5F6A388F"/>
    <w:rsid w:val="5F702AE8"/>
    <w:rsid w:val="5F716DED"/>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B6BBC"/>
    <w:rsid w:val="614F7714"/>
    <w:rsid w:val="614F79E9"/>
    <w:rsid w:val="615F1CAE"/>
    <w:rsid w:val="615F2167"/>
    <w:rsid w:val="615F7D6A"/>
    <w:rsid w:val="616048EE"/>
    <w:rsid w:val="61653414"/>
    <w:rsid w:val="61775B03"/>
    <w:rsid w:val="61787C76"/>
    <w:rsid w:val="617D2724"/>
    <w:rsid w:val="618C04FE"/>
    <w:rsid w:val="6192024E"/>
    <w:rsid w:val="61DE1F1F"/>
    <w:rsid w:val="61E26CFA"/>
    <w:rsid w:val="61F155B4"/>
    <w:rsid w:val="620058CC"/>
    <w:rsid w:val="62010932"/>
    <w:rsid w:val="620218E0"/>
    <w:rsid w:val="62175873"/>
    <w:rsid w:val="621A07C5"/>
    <w:rsid w:val="621A2AEC"/>
    <w:rsid w:val="621D3DE0"/>
    <w:rsid w:val="62204A9C"/>
    <w:rsid w:val="623D3F36"/>
    <w:rsid w:val="62414EF4"/>
    <w:rsid w:val="624C7A06"/>
    <w:rsid w:val="624D069F"/>
    <w:rsid w:val="625A3A2B"/>
    <w:rsid w:val="62641E35"/>
    <w:rsid w:val="628B380A"/>
    <w:rsid w:val="62A86AE4"/>
    <w:rsid w:val="62B6094A"/>
    <w:rsid w:val="62CE4E0F"/>
    <w:rsid w:val="62DF20A9"/>
    <w:rsid w:val="62E54C39"/>
    <w:rsid w:val="62EB578C"/>
    <w:rsid w:val="62F167F5"/>
    <w:rsid w:val="62FE5AC6"/>
    <w:rsid w:val="630C3AE7"/>
    <w:rsid w:val="63325CEE"/>
    <w:rsid w:val="633B4110"/>
    <w:rsid w:val="634D5A29"/>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0D29"/>
    <w:rsid w:val="65E9248D"/>
    <w:rsid w:val="65EF7DFF"/>
    <w:rsid w:val="6613354E"/>
    <w:rsid w:val="66200813"/>
    <w:rsid w:val="662032A0"/>
    <w:rsid w:val="66322707"/>
    <w:rsid w:val="664A2B0B"/>
    <w:rsid w:val="665225B6"/>
    <w:rsid w:val="66643CD5"/>
    <w:rsid w:val="66645BD3"/>
    <w:rsid w:val="666752FC"/>
    <w:rsid w:val="66706620"/>
    <w:rsid w:val="667A0598"/>
    <w:rsid w:val="667A2800"/>
    <w:rsid w:val="667A6648"/>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2F5BE0"/>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07CE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062F7"/>
    <w:rsid w:val="6C415AEC"/>
    <w:rsid w:val="6C477A25"/>
    <w:rsid w:val="6C4911E3"/>
    <w:rsid w:val="6C4C4DA3"/>
    <w:rsid w:val="6C4D7CCE"/>
    <w:rsid w:val="6C5E4581"/>
    <w:rsid w:val="6C69339D"/>
    <w:rsid w:val="6C921172"/>
    <w:rsid w:val="6CA561EF"/>
    <w:rsid w:val="6CB8187C"/>
    <w:rsid w:val="6CBC7698"/>
    <w:rsid w:val="6CC43DCE"/>
    <w:rsid w:val="6CC7492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E70B21"/>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9A0FE4"/>
    <w:rsid w:val="70A23903"/>
    <w:rsid w:val="70A36B91"/>
    <w:rsid w:val="70AB660C"/>
    <w:rsid w:val="70B4157B"/>
    <w:rsid w:val="70BC2170"/>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B63CA1"/>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CE7946"/>
    <w:rsid w:val="74D67798"/>
    <w:rsid w:val="74D87365"/>
    <w:rsid w:val="74DF4168"/>
    <w:rsid w:val="75111A9D"/>
    <w:rsid w:val="752650AE"/>
    <w:rsid w:val="752D306B"/>
    <w:rsid w:val="753022BE"/>
    <w:rsid w:val="75311E23"/>
    <w:rsid w:val="754337CB"/>
    <w:rsid w:val="754F3919"/>
    <w:rsid w:val="75530645"/>
    <w:rsid w:val="755631A4"/>
    <w:rsid w:val="755F2C4C"/>
    <w:rsid w:val="75690311"/>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54BE6"/>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203EB"/>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C4584"/>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62566"/>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1F046A"/>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5387"/>
    <w:rsid w:val="7DF076CD"/>
    <w:rsid w:val="7E03513B"/>
    <w:rsid w:val="7E145B78"/>
    <w:rsid w:val="7E1625A8"/>
    <w:rsid w:val="7E1E5DFA"/>
    <w:rsid w:val="7E45572A"/>
    <w:rsid w:val="7E4F3EE6"/>
    <w:rsid w:val="7E525688"/>
    <w:rsid w:val="7E5358A2"/>
    <w:rsid w:val="7E57165F"/>
    <w:rsid w:val="7E5C5F01"/>
    <w:rsid w:val="7E72494E"/>
    <w:rsid w:val="7E811934"/>
    <w:rsid w:val="7E8F6B16"/>
    <w:rsid w:val="7E961378"/>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D409B"/>
    <w:rsid w:val="7F3367F6"/>
    <w:rsid w:val="7F405636"/>
    <w:rsid w:val="7F560F95"/>
    <w:rsid w:val="7F737A53"/>
    <w:rsid w:val="7F8304E3"/>
    <w:rsid w:val="7F8339FD"/>
    <w:rsid w:val="7F974ED5"/>
    <w:rsid w:val="7F9F5B2E"/>
    <w:rsid w:val="7FA15F27"/>
    <w:rsid w:val="7FB25973"/>
    <w:rsid w:val="7FCE1A7C"/>
    <w:rsid w:val="7FD95F7E"/>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Cs w:val="24"/>
      <w:lang w:val="en-US" w:eastAsia="zh-CN" w:bidi="ar-SA"/>
    </w:rPr>
  </w:style>
  <w:style w:type="paragraph" w:styleId="2">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99"/>
    <w:pPr>
      <w:numPr>
        <w:ilvl w:val="2"/>
        <w:numId w:val="1"/>
      </w:numPr>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lang w:val="en-GB" w:eastAsia="en-GB"/>
    </w:rPr>
  </w:style>
  <w:style w:type="paragraph" w:styleId="20">
    <w:name w:val="index 8"/>
    <w:basedOn w:val="1"/>
    <w:next w:val="1"/>
    <w:qFormat/>
    <w:uiPriority w:val="0"/>
    <w:pPr>
      <w:ind w:left="1680" w:hanging="210"/>
      <w:jc w:val="left"/>
    </w:pPr>
    <w:rPr>
      <w:rFonts w:ascii="Calibri" w:hAnsi="Calibri"/>
      <w:szCs w:val="20"/>
    </w:rPr>
  </w:style>
  <w:style w:type="paragraph" w:styleId="21">
    <w:name w:val="caption"/>
    <w:basedOn w:val="1"/>
    <w:next w:val="1"/>
    <w:link w:val="90"/>
    <w:qFormat/>
    <w:uiPriority w:val="0"/>
    <w:pPr>
      <w:spacing w:before="152"/>
    </w:pPr>
    <w:rPr>
      <w:rFonts w:ascii="Arial" w:hAnsi="Arial" w:eastAsia="黑体" w:cs="Arial"/>
      <w:szCs w:val="20"/>
    </w:rPr>
  </w:style>
  <w:style w:type="paragraph" w:styleId="22">
    <w:name w:val="index 5"/>
    <w:basedOn w:val="1"/>
    <w:next w:val="1"/>
    <w:qFormat/>
    <w:uiPriority w:val="0"/>
    <w:pPr>
      <w:ind w:left="1050" w:hanging="210"/>
      <w:jc w:val="left"/>
    </w:pPr>
    <w:rPr>
      <w:rFonts w:ascii="Calibri" w:hAnsi="Calibri"/>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Cs w:val="20"/>
    </w:rPr>
  </w:style>
  <w:style w:type="paragraph" w:styleId="26">
    <w:name w:val="Body Text"/>
    <w:basedOn w:val="1"/>
    <w:link w:val="125"/>
    <w:qFormat/>
    <w:uiPriority w:val="0"/>
    <w:pPr>
      <w:widowControl/>
      <w:spacing w:before="40" w:after="120"/>
      <w:jc w:val="left"/>
    </w:pPr>
    <w:rPr>
      <w:rFonts w:ascii="Arial" w:hAnsi="Arial" w:eastAsia="MS Mincho"/>
      <w:kern w:val="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Cs w:val="20"/>
    </w:rPr>
  </w:style>
  <w:style w:type="paragraph" w:styleId="49">
    <w:name w:val="index 9"/>
    <w:basedOn w:val="1"/>
    <w:next w:val="1"/>
    <w:qFormat/>
    <w:uiPriority w:val="0"/>
    <w:pPr>
      <w:ind w:left="1890" w:hanging="210"/>
      <w:jc w:val="left"/>
    </w:pPr>
    <w:rPr>
      <w:rFonts w:ascii="Calibri" w:hAnsi="Calibri"/>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Cs w:val="20"/>
      <w:lang w:val="en-GB" w:eastAsia="en-GB"/>
    </w:rPr>
  </w:style>
  <w:style w:type="table" w:styleId="57">
    <w:name w:val="Table Grid"/>
    <w:basedOn w:val="5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99"/>
    <w:rPr>
      <w:b/>
      <w:bCs/>
      <w:kern w:val="44"/>
      <w:sz w:val="44"/>
      <w:szCs w:val="44"/>
    </w:rPr>
  </w:style>
  <w:style w:type="character" w:customStyle="1" w:styleId="71">
    <w:name w:val="Heading 2 Char"/>
    <w:basedOn w:val="58"/>
    <w:link w:val="3"/>
    <w:qFormat/>
    <w:uiPriority w:val="99"/>
    <w:rPr>
      <w:rFonts w:ascii="Arial" w:hAnsi="Arial" w:eastAsia="MS Mincho"/>
      <w:sz w:val="32"/>
      <w:szCs w:val="32"/>
      <w:lang w:val="en-GB"/>
    </w:rPr>
  </w:style>
  <w:style w:type="character" w:customStyle="1" w:styleId="72">
    <w:name w:val="Heading 3 Char"/>
    <w:basedOn w:val="58"/>
    <w:link w:val="4"/>
    <w:qFormat/>
    <w:uiPriority w:val="99"/>
    <w:rPr>
      <w:rFonts w:ascii="Arial" w:hAnsi="Arial" w:eastAsia="MS Mincho"/>
      <w:b/>
      <w:bCs/>
      <w:sz w:val="32"/>
      <w:szCs w:val="32"/>
      <w:lang w:val="en-GB"/>
    </w:rPr>
  </w:style>
  <w:style w:type="character" w:customStyle="1" w:styleId="73">
    <w:name w:val="Heading 4 Char"/>
    <w:basedOn w:val="58"/>
    <w:link w:val="5"/>
    <w:qFormat/>
    <w:uiPriority w:val="0"/>
    <w:rPr>
      <w:rFonts w:ascii="Arial" w:hAnsi="Arial" w:eastAsia="黑体"/>
      <w:b/>
      <w:bCs/>
      <w:sz w:val="28"/>
      <w:szCs w:val="32"/>
      <w:lang w:val="en-GB"/>
    </w:rPr>
  </w:style>
  <w:style w:type="character" w:customStyle="1" w:styleId="74">
    <w:name w:val="Heading 5 Char"/>
    <w:basedOn w:val="58"/>
    <w:link w:val="6"/>
    <w:qFormat/>
    <w:uiPriority w:val="0"/>
    <w:rPr>
      <w:rFonts w:ascii="Arial" w:hAnsi="Arial" w:eastAsia="黑体"/>
      <w:b/>
      <w:bCs/>
      <w:sz w:val="28"/>
      <w:szCs w:val="32"/>
      <w:lang w:val="en-GB"/>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ascii="Arial" w:hAnsi="Arial" w:eastAsia="MS Mincho"/>
      <w:b/>
      <w:kern w:val="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305">
    <w:name w:val="列出段落1"/>
    <w:basedOn w:val="1"/>
    <w:semiHidden/>
    <w:qFormat/>
    <w:uiPriority w:val="0"/>
    <w:pPr>
      <w:spacing w:before="100" w:beforeAutospacing="1" w:line="256" w:lineRule="auto"/>
      <w:ind w:firstLine="420" w:firstLineChars="200"/>
    </w:pPr>
    <w:rPr>
      <w:rFonts w:eastAsia="宋体"/>
      <w:szCs w:val="21"/>
    </w:rPr>
  </w:style>
  <w:style w:type="table" w:customStyle="1" w:styleId="306">
    <w:name w:val="网格表 4 - 着色 51"/>
    <w:basedOn w:val="56"/>
    <w:qFormat/>
    <w:uiPriority w:val="0"/>
    <w:rPr>
      <w:rFonts w:eastAsia="Times New Roman"/>
    </w:rPr>
    <w:tblPr>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Pr>
    <w:tblStylePr w:type="firstRow">
      <w:rPr>
        <w:rFonts w:hint="default" w:ascii="Times New Roman" w:hAnsi="Times New Roman" w:cs="Times New Roman"/>
        <w:b/>
        <w:bCs/>
        <w:color w:val="FFFFFF"/>
      </w:rPr>
      <w:tcPr>
        <w:tcBorders>
          <w:top w:val="single" w:color="8DC642" w:sz="4" w:space="0"/>
          <w:left w:val="single" w:color="8DC642" w:sz="4" w:space="0"/>
          <w:bottom w:val="single" w:color="8DC642" w:sz="4" w:space="0"/>
          <w:right w:val="single" w:color="8DC642" w:sz="4" w:space="0"/>
          <w:insideH w:val="nil"/>
          <w:insideV w:val="nil"/>
        </w:tcBorders>
        <w:shd w:val="clear" w:color="auto" w:fill="8DC642"/>
      </w:tcPr>
    </w:tblStylePr>
    <w:tblStylePr w:type="lastRow">
      <w:rPr>
        <w:rFonts w:hint="default" w:ascii="Times New Roman" w:hAnsi="Times New Roman" w:cs="Times New Roman"/>
        <w:b/>
        <w:bCs/>
      </w:rPr>
      <w:tcPr>
        <w:tcBorders>
          <w:top w:val="double" w:color="8DC642" w:sz="2"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shd w:val="clear" w:color="auto" w:fill="E8F3D9"/>
      </w:tcPr>
    </w:tblStylePr>
    <w:tblStylePr w:type="band1Horz">
      <w:tcPr>
        <w:shd w:val="clear" w:color="auto" w:fill="E8F3D9"/>
      </w:tcPr>
    </w:tblStylePr>
  </w:style>
  <w:style w:type="paragraph" w:customStyle="1" w:styleId="307">
    <w:name w:val="Revision"/>
    <w:hidden/>
    <w:semiHidden/>
    <w:qFormat/>
    <w:uiPriority w:val="99"/>
    <w:pPr>
      <w:spacing w:after="0" w:line="240" w:lineRule="auto"/>
    </w:pPr>
    <w:rPr>
      <w:rFonts w:ascii="Times New Roman" w:hAnsi="Times New Roman" w:cs="Times New Roman" w:eastAsiaTheme="minorEastAsia"/>
      <w:kern w:val="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962646-39BD-4211-B751-030CE812AEFA}">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6</Pages>
  <Words>1966</Words>
  <Characters>11211</Characters>
  <Lines>93</Lines>
  <Paragraphs>26</Paragraphs>
  <TotalTime>0</TotalTime>
  <ScaleCrop>false</ScaleCrop>
  <LinksUpToDate>false</LinksUpToDate>
  <CharactersWithSpaces>13151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2023-02-17T00:51:00Z</dcterms:created>
  <dc:creator>10033860</dc:creator>
  <cp:lastModifiedBy>ZTE(Zhihong)</cp:lastModifiedBy>
  <cp:lastPrinted>2113-01-01T00:00:00Z</cp:lastPrinted>
  <dcterms:modified xsi:type="dcterms:W3CDTF">2023-02-17T08:09:08Z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